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A365833" w14:textId="2726524F" w:rsidR="008D428F" w:rsidRDefault="008D428F" w:rsidP="002570BA">
      <w:pPr>
        <w:pStyle w:val="NoSpacing"/>
      </w:pPr>
    </w:p>
    <w:p w14:paraId="4DA5E910" w14:textId="77777777" w:rsidR="002448B8" w:rsidRPr="00C62872" w:rsidRDefault="002448B8" w:rsidP="002570BA">
      <w:pPr>
        <w:pStyle w:val="NoSpacing"/>
      </w:pPr>
    </w:p>
    <w:p w14:paraId="538A500B" w14:textId="166F0C95" w:rsidR="00C62872" w:rsidRPr="00C62872" w:rsidRDefault="00C62872" w:rsidP="00C62872">
      <w:pPr>
        <w:spacing w:after="0"/>
        <w:rPr>
          <w:rFonts w:ascii="Arial" w:hAnsi="Arial" w:cs="Arial"/>
          <w:sz w:val="24"/>
          <w:szCs w:val="24"/>
        </w:rPr>
      </w:pPr>
    </w:p>
    <w:p w14:paraId="3D427A88" w14:textId="6E72E130" w:rsidR="00C62872" w:rsidRPr="0044029F" w:rsidRDefault="00D366D8" w:rsidP="002064B8">
      <w:pPr>
        <w:spacing w:after="0" w:line="360" w:lineRule="auto"/>
        <w:jc w:val="center"/>
        <w:rPr>
          <w:rFonts w:ascii="Arial" w:hAnsi="Arial" w:cs="Arial"/>
          <w:b/>
          <w:bCs/>
          <w:sz w:val="32"/>
          <w:szCs w:val="32"/>
        </w:rPr>
      </w:pPr>
      <w:bookmarkStart w:id="0" w:name="_Hlk135837777"/>
      <w:bookmarkStart w:id="1" w:name="_Hlk126064145"/>
      <w:r>
        <w:rPr>
          <w:rFonts w:ascii="Arial" w:hAnsi="Arial" w:cs="Arial"/>
          <w:b/>
          <w:bCs/>
          <w:sz w:val="32"/>
          <w:szCs w:val="32"/>
        </w:rPr>
        <w:t>S</w:t>
      </w:r>
      <w:r w:rsidR="00D07EC8">
        <w:rPr>
          <w:rFonts w:ascii="Arial" w:hAnsi="Arial" w:cs="Arial"/>
          <w:b/>
          <w:bCs/>
          <w:sz w:val="32"/>
          <w:szCs w:val="32"/>
        </w:rPr>
        <w:t xml:space="preserve">enior </w:t>
      </w:r>
      <w:r w:rsidRPr="0044029F">
        <w:rPr>
          <w:rFonts w:ascii="Arial" w:hAnsi="Arial" w:cs="Arial"/>
          <w:b/>
          <w:bCs/>
          <w:sz w:val="32"/>
          <w:szCs w:val="32"/>
        </w:rPr>
        <w:t>L</w:t>
      </w:r>
      <w:r w:rsidR="00D07EC8" w:rsidRPr="0044029F">
        <w:rPr>
          <w:rFonts w:ascii="Arial" w:hAnsi="Arial" w:cs="Arial"/>
          <w:b/>
          <w:bCs/>
          <w:sz w:val="32"/>
          <w:szCs w:val="32"/>
        </w:rPr>
        <w:t xml:space="preserve">eadership </w:t>
      </w:r>
      <w:r w:rsidRPr="0044029F">
        <w:rPr>
          <w:rFonts w:ascii="Arial" w:hAnsi="Arial" w:cs="Arial"/>
          <w:b/>
          <w:bCs/>
          <w:sz w:val="32"/>
          <w:szCs w:val="32"/>
        </w:rPr>
        <w:t>T</w:t>
      </w:r>
      <w:r w:rsidR="00D07EC8" w:rsidRPr="0044029F">
        <w:rPr>
          <w:rFonts w:ascii="Arial" w:hAnsi="Arial" w:cs="Arial"/>
          <w:b/>
          <w:bCs/>
          <w:sz w:val="32"/>
          <w:szCs w:val="32"/>
        </w:rPr>
        <w:t>eam (SLT)</w:t>
      </w:r>
      <w:r w:rsidRPr="0044029F">
        <w:rPr>
          <w:rFonts w:ascii="Arial" w:hAnsi="Arial" w:cs="Arial"/>
          <w:b/>
          <w:bCs/>
          <w:sz w:val="32"/>
          <w:szCs w:val="32"/>
        </w:rPr>
        <w:t xml:space="preserve"> - </w:t>
      </w:r>
      <w:r w:rsidR="004D318A" w:rsidRPr="0044029F">
        <w:rPr>
          <w:rFonts w:ascii="Arial" w:hAnsi="Arial" w:cs="Arial"/>
          <w:b/>
          <w:bCs/>
          <w:sz w:val="32"/>
          <w:szCs w:val="32"/>
        </w:rPr>
        <w:t>Quality</w:t>
      </w:r>
      <w:r w:rsidRPr="0044029F">
        <w:rPr>
          <w:rFonts w:ascii="Arial" w:hAnsi="Arial" w:cs="Arial"/>
          <w:b/>
          <w:bCs/>
          <w:sz w:val="32"/>
          <w:szCs w:val="32"/>
        </w:rPr>
        <w:t>, S</w:t>
      </w:r>
      <w:r w:rsidR="004D318A" w:rsidRPr="0044029F">
        <w:rPr>
          <w:rFonts w:ascii="Arial" w:hAnsi="Arial" w:cs="Arial"/>
          <w:b/>
          <w:bCs/>
          <w:sz w:val="32"/>
          <w:szCs w:val="32"/>
        </w:rPr>
        <w:t>afety</w:t>
      </w:r>
      <w:r w:rsidRPr="0044029F">
        <w:rPr>
          <w:rFonts w:ascii="Arial" w:hAnsi="Arial" w:cs="Arial"/>
          <w:b/>
          <w:bCs/>
          <w:sz w:val="32"/>
          <w:szCs w:val="32"/>
        </w:rPr>
        <w:t xml:space="preserve"> and Governance</w:t>
      </w:r>
    </w:p>
    <w:bookmarkEnd w:id="0"/>
    <w:p w14:paraId="2A9FA553" w14:textId="6DD563AD" w:rsidR="00C62872" w:rsidRPr="008641A5" w:rsidRDefault="008641A5" w:rsidP="00C62872">
      <w:pPr>
        <w:spacing w:after="0"/>
        <w:jc w:val="center"/>
        <w:rPr>
          <w:rFonts w:ascii="Arial" w:hAnsi="Arial" w:cs="Arial"/>
          <w:b/>
          <w:bCs/>
          <w:color w:val="000000" w:themeColor="text1"/>
          <w:sz w:val="32"/>
          <w:szCs w:val="32"/>
        </w:rPr>
      </w:pPr>
      <w:r w:rsidRPr="008641A5">
        <w:rPr>
          <w:rFonts w:ascii="Arial" w:hAnsi="Arial" w:cs="Arial"/>
          <w:b/>
          <w:bCs/>
          <w:color w:val="000000" w:themeColor="text1"/>
          <w:sz w:val="32"/>
          <w:szCs w:val="32"/>
        </w:rPr>
        <w:t>21</w:t>
      </w:r>
      <w:r w:rsidR="008A6C4D" w:rsidRPr="008641A5">
        <w:rPr>
          <w:rFonts w:ascii="Arial" w:hAnsi="Arial" w:cs="Arial"/>
          <w:b/>
          <w:bCs/>
          <w:color w:val="000000" w:themeColor="text1"/>
          <w:sz w:val="32"/>
          <w:szCs w:val="32"/>
        </w:rPr>
        <w:t xml:space="preserve"> </w:t>
      </w:r>
      <w:r w:rsidR="0027197D" w:rsidRPr="008641A5">
        <w:rPr>
          <w:rFonts w:ascii="Arial" w:hAnsi="Arial" w:cs="Arial"/>
          <w:b/>
          <w:bCs/>
          <w:color w:val="000000" w:themeColor="text1"/>
          <w:sz w:val="32"/>
          <w:szCs w:val="32"/>
        </w:rPr>
        <w:t>January</w:t>
      </w:r>
      <w:r w:rsidR="0044029F" w:rsidRPr="008641A5">
        <w:rPr>
          <w:rFonts w:ascii="Arial" w:hAnsi="Arial" w:cs="Arial"/>
          <w:b/>
          <w:bCs/>
          <w:color w:val="000000" w:themeColor="text1"/>
          <w:sz w:val="32"/>
          <w:szCs w:val="32"/>
        </w:rPr>
        <w:t xml:space="preserve"> </w:t>
      </w:r>
      <w:r w:rsidR="00C25451" w:rsidRPr="008641A5">
        <w:rPr>
          <w:rFonts w:ascii="Arial" w:hAnsi="Arial" w:cs="Arial"/>
          <w:b/>
          <w:bCs/>
          <w:color w:val="000000" w:themeColor="text1"/>
          <w:sz w:val="32"/>
          <w:szCs w:val="32"/>
        </w:rPr>
        <w:t>202</w:t>
      </w:r>
      <w:r w:rsidR="0027197D" w:rsidRPr="008641A5">
        <w:rPr>
          <w:rFonts w:ascii="Arial" w:hAnsi="Arial" w:cs="Arial"/>
          <w:b/>
          <w:bCs/>
          <w:color w:val="000000" w:themeColor="text1"/>
          <w:sz w:val="32"/>
          <w:szCs w:val="32"/>
        </w:rPr>
        <w:t>6</w:t>
      </w:r>
    </w:p>
    <w:bookmarkEnd w:id="1"/>
    <w:p w14:paraId="2F6A8FE3" w14:textId="015F4917" w:rsidR="00C62872" w:rsidRDefault="00C6287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1827"/>
        <w:gridCol w:w="1978"/>
        <w:gridCol w:w="3035"/>
        <w:gridCol w:w="1784"/>
        <w:gridCol w:w="1252"/>
      </w:tblGrid>
      <w:tr w:rsidR="005E1305" w14:paraId="2EAAA903" w14:textId="77777777" w:rsidTr="00FF7923">
        <w:tc>
          <w:tcPr>
            <w:tcW w:w="1827" w:type="dxa"/>
            <w:shd w:val="clear" w:color="auto" w:fill="C7D4ED"/>
          </w:tcPr>
          <w:p w14:paraId="369ABAAE"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Paper title:</w:t>
            </w:r>
          </w:p>
        </w:tc>
        <w:tc>
          <w:tcPr>
            <w:tcW w:w="6797" w:type="dxa"/>
            <w:gridSpan w:val="3"/>
          </w:tcPr>
          <w:p w14:paraId="68F88139" w14:textId="53A3B294" w:rsidR="005E1305" w:rsidRPr="00272B0E" w:rsidRDefault="005E1305" w:rsidP="005E1305">
            <w:pPr>
              <w:rPr>
                <w:rFonts w:ascii="Arial" w:hAnsi="Arial" w:cs="Arial"/>
                <w:sz w:val="24"/>
                <w:szCs w:val="24"/>
              </w:rPr>
            </w:pPr>
            <w:r w:rsidRPr="00272B0E">
              <w:rPr>
                <w:rFonts w:ascii="Arial" w:hAnsi="Arial" w:cs="Arial"/>
                <w:sz w:val="24"/>
                <w:szCs w:val="24"/>
              </w:rPr>
              <w:t xml:space="preserve">Learning from </w:t>
            </w:r>
            <w:r w:rsidR="00FF7923" w:rsidRPr="00272B0E">
              <w:rPr>
                <w:rFonts w:ascii="Arial" w:hAnsi="Arial" w:cs="Arial"/>
                <w:sz w:val="24"/>
                <w:szCs w:val="24"/>
              </w:rPr>
              <w:t>D</w:t>
            </w:r>
            <w:r w:rsidRPr="00272B0E">
              <w:rPr>
                <w:rFonts w:ascii="Arial" w:hAnsi="Arial" w:cs="Arial"/>
                <w:sz w:val="24"/>
                <w:szCs w:val="24"/>
              </w:rPr>
              <w:t xml:space="preserve">eaths </w:t>
            </w:r>
            <w:r w:rsidR="00FF7923" w:rsidRPr="00272B0E">
              <w:rPr>
                <w:rFonts w:ascii="Arial" w:hAnsi="Arial" w:cs="Arial"/>
                <w:sz w:val="24"/>
                <w:szCs w:val="24"/>
              </w:rPr>
              <w:t xml:space="preserve">- Quarter </w:t>
            </w:r>
            <w:r w:rsidR="0027197D">
              <w:rPr>
                <w:rFonts w:ascii="Arial" w:hAnsi="Arial" w:cs="Arial"/>
                <w:sz w:val="24"/>
                <w:szCs w:val="24"/>
              </w:rPr>
              <w:t>3</w:t>
            </w:r>
            <w:r w:rsidR="00FF7923" w:rsidRPr="00272B0E">
              <w:rPr>
                <w:rFonts w:ascii="Arial" w:hAnsi="Arial" w:cs="Arial"/>
                <w:sz w:val="24"/>
                <w:szCs w:val="24"/>
              </w:rPr>
              <w:t xml:space="preserve"> 2025/26</w:t>
            </w:r>
          </w:p>
        </w:tc>
        <w:tc>
          <w:tcPr>
            <w:tcW w:w="1252" w:type="dxa"/>
            <w:vMerge w:val="restart"/>
          </w:tcPr>
          <w:p w14:paraId="208243A5" w14:textId="77777777" w:rsidR="005E1305" w:rsidRPr="004B38F5" w:rsidRDefault="005E1305" w:rsidP="005E1305">
            <w:pPr>
              <w:jc w:val="center"/>
              <w:rPr>
                <w:rFonts w:ascii="Arial" w:hAnsi="Arial" w:cs="Arial"/>
                <w:b/>
                <w:bCs/>
                <w:sz w:val="24"/>
                <w:szCs w:val="24"/>
              </w:rPr>
            </w:pPr>
            <w:r w:rsidRPr="004B38F5">
              <w:rPr>
                <w:rFonts w:ascii="Arial" w:hAnsi="Arial" w:cs="Arial"/>
                <w:b/>
                <w:bCs/>
                <w:sz w:val="24"/>
                <w:szCs w:val="24"/>
              </w:rPr>
              <w:t>Agenda</w:t>
            </w:r>
          </w:p>
          <w:p w14:paraId="4069E5E9" w14:textId="77777777" w:rsidR="005E1305" w:rsidRPr="004B38F5" w:rsidRDefault="005E1305" w:rsidP="005E1305">
            <w:pPr>
              <w:spacing w:line="360" w:lineRule="auto"/>
              <w:jc w:val="center"/>
              <w:rPr>
                <w:rFonts w:ascii="Arial" w:hAnsi="Arial" w:cs="Arial"/>
                <w:b/>
                <w:bCs/>
                <w:sz w:val="24"/>
                <w:szCs w:val="24"/>
              </w:rPr>
            </w:pPr>
            <w:r w:rsidRPr="004B38F5">
              <w:rPr>
                <w:rFonts w:ascii="Arial" w:hAnsi="Arial" w:cs="Arial"/>
                <w:b/>
                <w:bCs/>
                <w:sz w:val="24"/>
                <w:szCs w:val="24"/>
              </w:rPr>
              <w:t>Item</w:t>
            </w:r>
          </w:p>
          <w:p w14:paraId="39A5F4BC" w14:textId="77777777" w:rsidR="005E1305" w:rsidRPr="004B38F5" w:rsidRDefault="005E1305" w:rsidP="005E1305">
            <w:pPr>
              <w:jc w:val="center"/>
              <w:rPr>
                <w:rFonts w:ascii="Arial" w:hAnsi="Arial" w:cs="Arial"/>
                <w:b/>
                <w:bCs/>
                <w:sz w:val="32"/>
                <w:szCs w:val="32"/>
              </w:rPr>
            </w:pPr>
            <w:r w:rsidRPr="004B38F5">
              <w:rPr>
                <w:rFonts w:ascii="Arial" w:hAnsi="Arial" w:cs="Arial"/>
                <w:b/>
                <w:bCs/>
                <w:color w:val="E90000"/>
                <w:sz w:val="32"/>
                <w:szCs w:val="32"/>
              </w:rPr>
              <w:t>XX</w:t>
            </w:r>
          </w:p>
        </w:tc>
      </w:tr>
      <w:tr w:rsidR="005E1305" w14:paraId="1E90ABBD" w14:textId="77777777" w:rsidTr="00FF7923">
        <w:tc>
          <w:tcPr>
            <w:tcW w:w="1827" w:type="dxa"/>
            <w:shd w:val="clear" w:color="auto" w:fill="C7D4ED"/>
          </w:tcPr>
          <w:p w14:paraId="6422B453"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Presented by:</w:t>
            </w:r>
          </w:p>
        </w:tc>
        <w:tc>
          <w:tcPr>
            <w:tcW w:w="6797" w:type="dxa"/>
            <w:gridSpan w:val="3"/>
          </w:tcPr>
          <w:p w14:paraId="40F00CE8" w14:textId="57058F9B" w:rsidR="005E1305" w:rsidRPr="00272B0E" w:rsidRDefault="00FF7923" w:rsidP="005E1305">
            <w:pPr>
              <w:rPr>
                <w:rFonts w:ascii="Arial" w:hAnsi="Arial" w:cs="Arial"/>
                <w:sz w:val="24"/>
                <w:szCs w:val="24"/>
              </w:rPr>
            </w:pPr>
            <w:r w:rsidRPr="00272B0E">
              <w:rPr>
                <w:rFonts w:ascii="Arial" w:hAnsi="Arial" w:cs="Arial"/>
                <w:sz w:val="24"/>
                <w:szCs w:val="24"/>
              </w:rPr>
              <w:t>Dr Sal Uka, Medical Director</w:t>
            </w:r>
          </w:p>
          <w:p w14:paraId="226CC4FF" w14:textId="57E16BCE" w:rsidR="00FF7923" w:rsidRPr="00272B0E" w:rsidRDefault="00FF7923" w:rsidP="005E1305">
            <w:pPr>
              <w:rPr>
                <w:rFonts w:ascii="Arial" w:hAnsi="Arial" w:cs="Arial"/>
                <w:sz w:val="24"/>
                <w:szCs w:val="24"/>
              </w:rPr>
            </w:pPr>
            <w:r w:rsidRPr="00272B0E">
              <w:rPr>
                <w:rFonts w:ascii="Arial" w:hAnsi="Arial" w:cs="Arial"/>
                <w:sz w:val="24"/>
                <w:szCs w:val="24"/>
              </w:rPr>
              <w:t>Dr Sarfaraz Shora, Deputy Medical Director</w:t>
            </w:r>
          </w:p>
        </w:tc>
        <w:tc>
          <w:tcPr>
            <w:tcW w:w="1252" w:type="dxa"/>
            <w:vMerge/>
          </w:tcPr>
          <w:p w14:paraId="41CE333E" w14:textId="77777777" w:rsidR="005E1305" w:rsidRDefault="005E1305" w:rsidP="005E1305">
            <w:pPr>
              <w:rPr>
                <w:rFonts w:ascii="Arial" w:hAnsi="Arial" w:cs="Arial"/>
                <w:sz w:val="24"/>
                <w:szCs w:val="24"/>
              </w:rPr>
            </w:pPr>
          </w:p>
        </w:tc>
      </w:tr>
      <w:tr w:rsidR="005E1305" w14:paraId="3CA6D58B" w14:textId="77777777" w:rsidTr="00FF7923">
        <w:tc>
          <w:tcPr>
            <w:tcW w:w="1827" w:type="dxa"/>
            <w:tcBorders>
              <w:bottom w:val="single" w:sz="18" w:space="0" w:color="0070C0"/>
            </w:tcBorders>
            <w:shd w:val="clear" w:color="auto" w:fill="C7D4ED"/>
          </w:tcPr>
          <w:p w14:paraId="2F193FD0" w14:textId="77777777" w:rsidR="005E1305" w:rsidRPr="00C62872" w:rsidRDefault="005E1305" w:rsidP="005E1305">
            <w:pPr>
              <w:rPr>
                <w:rFonts w:ascii="Arial" w:hAnsi="Arial" w:cs="Arial"/>
                <w:b/>
                <w:bCs/>
                <w:sz w:val="24"/>
                <w:szCs w:val="24"/>
              </w:rPr>
            </w:pPr>
            <w:r w:rsidRPr="00C62872">
              <w:rPr>
                <w:rFonts w:ascii="Arial" w:hAnsi="Arial" w:cs="Arial"/>
                <w:b/>
                <w:bCs/>
                <w:sz w:val="24"/>
                <w:szCs w:val="24"/>
              </w:rPr>
              <w:t>Prepared by:</w:t>
            </w:r>
          </w:p>
        </w:tc>
        <w:tc>
          <w:tcPr>
            <w:tcW w:w="6797" w:type="dxa"/>
            <w:gridSpan w:val="3"/>
            <w:tcBorders>
              <w:bottom w:val="single" w:sz="18" w:space="0" w:color="0070C0"/>
            </w:tcBorders>
          </w:tcPr>
          <w:p w14:paraId="5B08E4E7" w14:textId="77777777" w:rsidR="0044029F" w:rsidRPr="00272B0E" w:rsidRDefault="005E1305" w:rsidP="005E1305">
            <w:pPr>
              <w:rPr>
                <w:rFonts w:ascii="Arial" w:hAnsi="Arial" w:cs="Arial"/>
                <w:sz w:val="24"/>
                <w:szCs w:val="24"/>
              </w:rPr>
            </w:pPr>
            <w:r w:rsidRPr="00272B0E">
              <w:rPr>
                <w:rFonts w:ascii="Arial" w:hAnsi="Arial" w:cs="Arial"/>
                <w:sz w:val="24"/>
                <w:szCs w:val="24"/>
              </w:rPr>
              <w:t>Sallie Turner, Mortality &amp; Duty of Candour Improvement Facilitator</w:t>
            </w:r>
          </w:p>
          <w:p w14:paraId="76B1D358" w14:textId="64329B66" w:rsidR="005E1305" w:rsidRPr="00CD1C0B" w:rsidRDefault="00CD1C0B" w:rsidP="005E1305">
            <w:pPr>
              <w:rPr>
                <w:rFonts w:ascii="Arial" w:hAnsi="Arial" w:cs="Arial"/>
                <w:sz w:val="24"/>
                <w:szCs w:val="24"/>
              </w:rPr>
            </w:pPr>
            <w:r w:rsidRPr="00CD1C0B">
              <w:rPr>
                <w:rFonts w:ascii="Arial" w:hAnsi="Arial" w:cs="Arial"/>
                <w:sz w:val="24"/>
                <w:szCs w:val="24"/>
              </w:rPr>
              <w:t>Tricia George</w:t>
            </w:r>
            <w:r w:rsidR="005E1305" w:rsidRPr="00CD1C0B">
              <w:rPr>
                <w:rFonts w:ascii="Arial" w:hAnsi="Arial" w:cs="Arial"/>
                <w:sz w:val="24"/>
                <w:szCs w:val="24"/>
              </w:rPr>
              <w:t>, Head of Patient Safety</w:t>
            </w:r>
            <w:r w:rsidR="0044029F" w:rsidRPr="00CD1C0B">
              <w:rPr>
                <w:rFonts w:ascii="Arial" w:hAnsi="Arial" w:cs="Arial"/>
                <w:sz w:val="24"/>
                <w:szCs w:val="24"/>
              </w:rPr>
              <w:t>/Patient Safety Specialist</w:t>
            </w:r>
          </w:p>
        </w:tc>
        <w:tc>
          <w:tcPr>
            <w:tcW w:w="1252" w:type="dxa"/>
            <w:vMerge/>
            <w:tcBorders>
              <w:bottom w:val="single" w:sz="18" w:space="0" w:color="0070C0"/>
            </w:tcBorders>
          </w:tcPr>
          <w:p w14:paraId="1F05CD6F" w14:textId="77777777" w:rsidR="005E1305" w:rsidRDefault="005E1305" w:rsidP="005E1305">
            <w:pPr>
              <w:rPr>
                <w:rFonts w:ascii="Arial" w:hAnsi="Arial" w:cs="Arial"/>
                <w:sz w:val="24"/>
                <w:szCs w:val="24"/>
              </w:rPr>
            </w:pPr>
          </w:p>
        </w:tc>
      </w:tr>
      <w:tr w:rsidR="005E1305" w14:paraId="0ECA9FDB" w14:textId="77777777" w:rsidTr="00306342">
        <w:tc>
          <w:tcPr>
            <w:tcW w:w="3805" w:type="dxa"/>
            <w:gridSpan w:val="2"/>
            <w:tcBorders>
              <w:top w:val="single" w:sz="18" w:space="0" w:color="0070C0"/>
              <w:bottom w:val="single" w:sz="4" w:space="0" w:color="0070C0"/>
            </w:tcBorders>
            <w:shd w:val="clear" w:color="auto" w:fill="C7D4ED"/>
          </w:tcPr>
          <w:p w14:paraId="675B1481" w14:textId="77777777" w:rsidR="005E1305" w:rsidRPr="00EE087E" w:rsidRDefault="005E1305" w:rsidP="005E1305">
            <w:pPr>
              <w:rPr>
                <w:rFonts w:ascii="Arial" w:hAnsi="Arial" w:cs="Arial"/>
                <w:b/>
                <w:bCs/>
                <w:sz w:val="24"/>
                <w:szCs w:val="24"/>
              </w:rPr>
            </w:pPr>
            <w:r w:rsidRPr="00EE087E">
              <w:rPr>
                <w:rFonts w:ascii="Arial" w:hAnsi="Arial" w:cs="Arial"/>
                <w:b/>
                <w:bCs/>
                <w:sz w:val="24"/>
                <w:szCs w:val="24"/>
              </w:rPr>
              <w:t xml:space="preserve">Committees where content has been discussed previously </w:t>
            </w:r>
          </w:p>
        </w:tc>
        <w:tc>
          <w:tcPr>
            <w:tcW w:w="6071" w:type="dxa"/>
            <w:gridSpan w:val="3"/>
            <w:tcBorders>
              <w:top w:val="single" w:sz="18" w:space="0" w:color="0070C0"/>
              <w:bottom w:val="single" w:sz="4" w:space="0" w:color="0070C0"/>
            </w:tcBorders>
          </w:tcPr>
          <w:p w14:paraId="2C2E7EFE" w14:textId="3AD582C0" w:rsidR="005E1305" w:rsidRPr="00FB34D4" w:rsidRDefault="005E1305" w:rsidP="005E1305">
            <w:pPr>
              <w:rPr>
                <w:rFonts w:ascii="Arial" w:hAnsi="Arial" w:cs="Arial"/>
                <w:color w:val="FF0000"/>
                <w:sz w:val="24"/>
                <w:szCs w:val="24"/>
              </w:rPr>
            </w:pPr>
            <w:r w:rsidRPr="00215348">
              <w:rPr>
                <w:rFonts w:ascii="Arial" w:hAnsi="Arial" w:cs="Arial"/>
                <w:sz w:val="24"/>
                <w:szCs w:val="24"/>
              </w:rPr>
              <w:t>n/a</w:t>
            </w:r>
          </w:p>
        </w:tc>
      </w:tr>
      <w:tr w:rsidR="005E1305" w14:paraId="132FE9A3" w14:textId="77777777" w:rsidTr="00306342">
        <w:trPr>
          <w:trHeight w:val="519"/>
        </w:trPr>
        <w:tc>
          <w:tcPr>
            <w:tcW w:w="3805" w:type="dxa"/>
            <w:gridSpan w:val="2"/>
            <w:tcBorders>
              <w:top w:val="single" w:sz="4" w:space="0" w:color="0070C0"/>
              <w:bottom w:val="single" w:sz="18" w:space="0" w:color="0070C0"/>
            </w:tcBorders>
            <w:shd w:val="clear" w:color="auto" w:fill="C7D4ED"/>
          </w:tcPr>
          <w:p w14:paraId="0E635646"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Purpose of the paper</w:t>
            </w:r>
          </w:p>
          <w:p w14:paraId="13F17A5F" w14:textId="77777777" w:rsidR="005E1305" w:rsidRPr="00F46B44" w:rsidRDefault="005E1305" w:rsidP="00306342">
            <w:pPr>
              <w:rPr>
                <w:rFonts w:ascii="Arial" w:hAnsi="Arial" w:cs="Arial"/>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ONE</w:t>
            </w:r>
            <w:r w:rsidRPr="00F46B44">
              <w:rPr>
                <w:rFonts w:ascii="Arial" w:hAnsi="Arial" w:cs="Arial"/>
                <w:sz w:val="24"/>
                <w:szCs w:val="24"/>
              </w:rPr>
              <w:t xml:space="preserve"> box only:</w:t>
            </w:r>
          </w:p>
        </w:tc>
        <w:tc>
          <w:tcPr>
            <w:tcW w:w="3035" w:type="dxa"/>
            <w:tcBorders>
              <w:top w:val="single" w:sz="4" w:space="0" w:color="0070C0"/>
              <w:bottom w:val="single" w:sz="18" w:space="0" w:color="0070C0"/>
              <w:right w:val="nil"/>
            </w:tcBorders>
          </w:tcPr>
          <w:p w14:paraId="31F0582B" w14:textId="77777777" w:rsidR="005E1305" w:rsidRPr="00F46B44" w:rsidRDefault="00143EDC" w:rsidP="00306342">
            <w:pPr>
              <w:rPr>
                <w:rFonts w:ascii="Arial" w:hAnsi="Arial" w:cs="Arial"/>
                <w:sz w:val="24"/>
                <w:szCs w:val="24"/>
              </w:rPr>
            </w:pPr>
            <w:sdt>
              <w:sdtPr>
                <w:rPr>
                  <w:rFonts w:ascii="Arial" w:hAnsi="Arial" w:cs="Arial"/>
                  <w:b/>
                  <w:bCs/>
                  <w:sz w:val="24"/>
                  <w:szCs w:val="24"/>
                </w:rPr>
                <w:id w:val="-1424260859"/>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approval</w:t>
            </w:r>
          </w:p>
          <w:p w14:paraId="6C73324D" w14:textId="77777777" w:rsidR="005E1305" w:rsidRPr="00F46B44" w:rsidRDefault="00143EDC" w:rsidP="00306342">
            <w:pPr>
              <w:rPr>
                <w:rFonts w:ascii="Arial" w:hAnsi="Arial" w:cs="Arial"/>
                <w:sz w:val="24"/>
                <w:szCs w:val="24"/>
              </w:rPr>
            </w:pPr>
            <w:sdt>
              <w:sdtPr>
                <w:rPr>
                  <w:rFonts w:ascii="Arial" w:hAnsi="Arial" w:cs="Arial"/>
                  <w:b/>
                  <w:bCs/>
                  <w:sz w:val="24"/>
                  <w:szCs w:val="24"/>
                </w:rPr>
                <w:id w:val="-66879537"/>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discussion</w:t>
            </w:r>
          </w:p>
        </w:tc>
        <w:tc>
          <w:tcPr>
            <w:tcW w:w="3036" w:type="dxa"/>
            <w:gridSpan w:val="2"/>
            <w:tcBorders>
              <w:top w:val="single" w:sz="4" w:space="0" w:color="0070C0"/>
              <w:left w:val="nil"/>
              <w:bottom w:val="single" w:sz="18" w:space="0" w:color="0070C0"/>
            </w:tcBorders>
          </w:tcPr>
          <w:p w14:paraId="1A5D9528" w14:textId="73D5F16D" w:rsidR="005E1305" w:rsidRPr="00F46B44" w:rsidRDefault="00143EDC" w:rsidP="00306342">
            <w:pPr>
              <w:rPr>
                <w:rFonts w:ascii="Arial" w:hAnsi="Arial" w:cs="Arial"/>
                <w:sz w:val="24"/>
                <w:szCs w:val="24"/>
              </w:rPr>
            </w:pPr>
            <w:sdt>
              <w:sdtPr>
                <w:rPr>
                  <w:rFonts w:ascii="Arial" w:hAnsi="Arial" w:cs="Arial"/>
                  <w:b/>
                  <w:bCs/>
                  <w:sz w:val="24"/>
                  <w:szCs w:val="24"/>
                </w:rPr>
                <w:id w:val="-213508072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For information</w:t>
            </w:r>
          </w:p>
        </w:tc>
      </w:tr>
    </w:tbl>
    <w:p w14:paraId="7895438E"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2671"/>
        <w:gridCol w:w="6378"/>
        <w:gridCol w:w="827"/>
      </w:tblGrid>
      <w:tr w:rsidR="005E1305" w14:paraId="3F734122" w14:textId="77777777" w:rsidTr="00306342">
        <w:tc>
          <w:tcPr>
            <w:tcW w:w="9876" w:type="dxa"/>
            <w:gridSpan w:val="3"/>
            <w:shd w:val="clear" w:color="auto" w:fill="C7D4ED"/>
          </w:tcPr>
          <w:p w14:paraId="56E8E3AD" w14:textId="77777777" w:rsidR="005E1305" w:rsidRPr="00767C20" w:rsidRDefault="005E1305" w:rsidP="00306342">
            <w:pPr>
              <w:rPr>
                <w:rFonts w:ascii="Arial" w:hAnsi="Arial" w:cs="Arial"/>
                <w:sz w:val="24"/>
                <w:szCs w:val="24"/>
              </w:rPr>
            </w:pPr>
            <w:r>
              <w:rPr>
                <w:rFonts w:ascii="Arial" w:hAnsi="Arial" w:cs="Arial"/>
                <w:b/>
                <w:bCs/>
                <w:sz w:val="24"/>
                <w:szCs w:val="24"/>
              </w:rPr>
              <w:t>Relationship to the Strategic priorities and Board Assurance Framework (BAF)</w:t>
            </w:r>
          </w:p>
        </w:tc>
      </w:tr>
      <w:tr w:rsidR="005E1305" w14:paraId="02D1F309" w14:textId="77777777" w:rsidTr="00306342">
        <w:trPr>
          <w:trHeight w:val="620"/>
        </w:trPr>
        <w:tc>
          <w:tcPr>
            <w:tcW w:w="9876" w:type="dxa"/>
            <w:gridSpan w:val="3"/>
          </w:tcPr>
          <w:p w14:paraId="439694A9" w14:textId="77777777" w:rsidR="005E1305" w:rsidRDefault="005E1305" w:rsidP="00306342">
            <w:pPr>
              <w:ind w:left="7" w:hanging="7"/>
              <w:rPr>
                <w:rFonts w:ascii="Arial" w:hAnsi="Arial" w:cs="Arial"/>
                <w:sz w:val="24"/>
                <w:szCs w:val="24"/>
              </w:rPr>
            </w:pPr>
            <w:r w:rsidRPr="00F21EFE">
              <w:rPr>
                <w:rFonts w:ascii="Arial" w:hAnsi="Arial" w:cs="Arial"/>
                <w:sz w:val="24"/>
                <w:szCs w:val="24"/>
              </w:rPr>
              <w:t xml:space="preserve">The work contained with this report </w:t>
            </w:r>
            <w:r>
              <w:rPr>
                <w:rFonts w:ascii="Arial" w:hAnsi="Arial" w:cs="Arial"/>
                <w:sz w:val="24"/>
                <w:szCs w:val="24"/>
              </w:rPr>
              <w:t>contributes to the delivery of the following themes within the BAF</w:t>
            </w:r>
          </w:p>
        </w:tc>
      </w:tr>
      <w:tr w:rsidR="005E1305" w14:paraId="6DD00DD5" w14:textId="77777777" w:rsidTr="00306342">
        <w:trPr>
          <w:trHeight w:val="20"/>
        </w:trPr>
        <w:tc>
          <w:tcPr>
            <w:tcW w:w="2671" w:type="dxa"/>
            <w:vMerge w:val="restart"/>
          </w:tcPr>
          <w:p w14:paraId="4B65595D"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Place to Work</w:t>
            </w:r>
          </w:p>
        </w:tc>
        <w:tc>
          <w:tcPr>
            <w:tcW w:w="6378" w:type="dxa"/>
          </w:tcPr>
          <w:p w14:paraId="0A222E5D" w14:textId="77777777" w:rsidR="005E1305" w:rsidRPr="00F21EFE" w:rsidRDefault="005E1305" w:rsidP="00306342">
            <w:pPr>
              <w:ind w:left="7" w:hanging="7"/>
              <w:rPr>
                <w:rFonts w:ascii="Arial" w:hAnsi="Arial" w:cs="Arial"/>
                <w:sz w:val="24"/>
                <w:szCs w:val="24"/>
              </w:rPr>
            </w:pPr>
            <w:r>
              <w:rPr>
                <w:rFonts w:ascii="Arial" w:hAnsi="Arial" w:cs="Arial"/>
                <w:sz w:val="24"/>
                <w:szCs w:val="24"/>
              </w:rPr>
              <w:t>Looking after our people</w:t>
            </w:r>
          </w:p>
        </w:tc>
        <w:tc>
          <w:tcPr>
            <w:tcW w:w="827" w:type="dxa"/>
          </w:tcPr>
          <w:p w14:paraId="5C596DA4" w14:textId="77777777" w:rsidR="005E1305" w:rsidRPr="00F21EFE" w:rsidRDefault="005E1305" w:rsidP="00306342">
            <w:pPr>
              <w:ind w:left="7" w:hanging="7"/>
              <w:rPr>
                <w:rFonts w:ascii="Arial" w:hAnsi="Arial" w:cs="Arial"/>
                <w:sz w:val="24"/>
                <w:szCs w:val="24"/>
              </w:rPr>
            </w:pPr>
          </w:p>
        </w:tc>
      </w:tr>
      <w:tr w:rsidR="005E1305" w14:paraId="03184C7B" w14:textId="77777777" w:rsidTr="00306342">
        <w:trPr>
          <w:trHeight w:val="20"/>
        </w:trPr>
        <w:tc>
          <w:tcPr>
            <w:tcW w:w="2671" w:type="dxa"/>
            <w:vMerge/>
          </w:tcPr>
          <w:p w14:paraId="61AF9BBD" w14:textId="77777777" w:rsidR="005E1305" w:rsidRPr="00F21EFE" w:rsidRDefault="005E1305" w:rsidP="00306342">
            <w:pPr>
              <w:ind w:left="7" w:hanging="7"/>
              <w:rPr>
                <w:rFonts w:ascii="Arial" w:hAnsi="Arial" w:cs="Arial"/>
                <w:sz w:val="24"/>
                <w:szCs w:val="24"/>
              </w:rPr>
            </w:pPr>
          </w:p>
        </w:tc>
        <w:tc>
          <w:tcPr>
            <w:tcW w:w="6378" w:type="dxa"/>
          </w:tcPr>
          <w:p w14:paraId="28F68923" w14:textId="77777777" w:rsidR="005E1305" w:rsidRPr="00F21EFE" w:rsidRDefault="005E1305" w:rsidP="00306342">
            <w:pPr>
              <w:ind w:left="7" w:hanging="7"/>
              <w:rPr>
                <w:rFonts w:ascii="Arial" w:hAnsi="Arial" w:cs="Arial"/>
                <w:sz w:val="24"/>
                <w:szCs w:val="24"/>
              </w:rPr>
            </w:pPr>
            <w:r>
              <w:rPr>
                <w:rFonts w:ascii="Arial" w:hAnsi="Arial" w:cs="Arial"/>
                <w:sz w:val="24"/>
                <w:szCs w:val="24"/>
              </w:rPr>
              <w:t>Belonging to our organisation</w:t>
            </w:r>
          </w:p>
        </w:tc>
        <w:tc>
          <w:tcPr>
            <w:tcW w:w="827" w:type="dxa"/>
          </w:tcPr>
          <w:p w14:paraId="14F7D7A3" w14:textId="77777777" w:rsidR="005E1305" w:rsidRPr="00F21EFE" w:rsidRDefault="005E1305" w:rsidP="00306342">
            <w:pPr>
              <w:ind w:left="7" w:hanging="7"/>
              <w:rPr>
                <w:rFonts w:ascii="Arial" w:hAnsi="Arial" w:cs="Arial"/>
                <w:sz w:val="24"/>
                <w:szCs w:val="24"/>
              </w:rPr>
            </w:pPr>
          </w:p>
        </w:tc>
      </w:tr>
      <w:tr w:rsidR="005E1305" w14:paraId="1DF02C28" w14:textId="77777777" w:rsidTr="00306342">
        <w:trPr>
          <w:trHeight w:val="20"/>
        </w:trPr>
        <w:tc>
          <w:tcPr>
            <w:tcW w:w="2671" w:type="dxa"/>
            <w:vMerge/>
          </w:tcPr>
          <w:p w14:paraId="563AAA01" w14:textId="77777777" w:rsidR="005E1305" w:rsidRPr="00F21EFE" w:rsidRDefault="005E1305" w:rsidP="00306342">
            <w:pPr>
              <w:ind w:left="7" w:hanging="7"/>
              <w:rPr>
                <w:rFonts w:ascii="Arial" w:hAnsi="Arial" w:cs="Arial"/>
                <w:sz w:val="24"/>
                <w:szCs w:val="24"/>
              </w:rPr>
            </w:pPr>
          </w:p>
        </w:tc>
        <w:tc>
          <w:tcPr>
            <w:tcW w:w="6378" w:type="dxa"/>
          </w:tcPr>
          <w:p w14:paraId="2398BF5C" w14:textId="77777777" w:rsidR="005E1305" w:rsidRPr="00F21EFE" w:rsidRDefault="005E1305" w:rsidP="00306342">
            <w:pPr>
              <w:ind w:left="7" w:hanging="7"/>
              <w:rPr>
                <w:rFonts w:ascii="Arial" w:hAnsi="Arial" w:cs="Arial"/>
                <w:sz w:val="24"/>
                <w:szCs w:val="24"/>
              </w:rPr>
            </w:pPr>
            <w:r>
              <w:rPr>
                <w:rFonts w:ascii="Arial" w:hAnsi="Arial" w:cs="Arial"/>
                <w:sz w:val="24"/>
                <w:szCs w:val="24"/>
              </w:rPr>
              <w:t>New ways of working and delivering care</w:t>
            </w:r>
          </w:p>
        </w:tc>
        <w:tc>
          <w:tcPr>
            <w:tcW w:w="827" w:type="dxa"/>
          </w:tcPr>
          <w:p w14:paraId="35F1F27B" w14:textId="77777777" w:rsidR="005E1305" w:rsidRPr="00F21EFE" w:rsidRDefault="005E1305" w:rsidP="00306342">
            <w:pPr>
              <w:ind w:left="7" w:hanging="7"/>
              <w:rPr>
                <w:rFonts w:ascii="Arial" w:hAnsi="Arial" w:cs="Arial"/>
                <w:sz w:val="24"/>
                <w:szCs w:val="24"/>
              </w:rPr>
            </w:pPr>
          </w:p>
        </w:tc>
      </w:tr>
      <w:tr w:rsidR="005E1305" w14:paraId="2619F5BC" w14:textId="77777777" w:rsidTr="00306342">
        <w:trPr>
          <w:trHeight w:val="20"/>
        </w:trPr>
        <w:tc>
          <w:tcPr>
            <w:tcW w:w="2671" w:type="dxa"/>
            <w:vMerge/>
          </w:tcPr>
          <w:p w14:paraId="21DABB59" w14:textId="77777777" w:rsidR="005E1305" w:rsidRPr="00F21EFE" w:rsidRDefault="005E1305" w:rsidP="00306342">
            <w:pPr>
              <w:ind w:left="7" w:hanging="7"/>
              <w:rPr>
                <w:rFonts w:ascii="Arial" w:hAnsi="Arial" w:cs="Arial"/>
                <w:sz w:val="24"/>
                <w:szCs w:val="24"/>
              </w:rPr>
            </w:pPr>
          </w:p>
        </w:tc>
        <w:tc>
          <w:tcPr>
            <w:tcW w:w="6378" w:type="dxa"/>
          </w:tcPr>
          <w:p w14:paraId="5F51FD60" w14:textId="77777777" w:rsidR="005E1305" w:rsidRPr="00F21EFE" w:rsidRDefault="005E1305" w:rsidP="00306342">
            <w:pPr>
              <w:ind w:left="7" w:hanging="7"/>
              <w:rPr>
                <w:rFonts w:ascii="Arial" w:hAnsi="Arial" w:cs="Arial"/>
                <w:sz w:val="24"/>
                <w:szCs w:val="24"/>
              </w:rPr>
            </w:pPr>
            <w:r>
              <w:rPr>
                <w:rFonts w:ascii="Arial" w:hAnsi="Arial" w:cs="Arial"/>
                <w:sz w:val="24"/>
                <w:szCs w:val="24"/>
              </w:rPr>
              <w:t>Growing for the future</w:t>
            </w:r>
          </w:p>
        </w:tc>
        <w:tc>
          <w:tcPr>
            <w:tcW w:w="827" w:type="dxa"/>
          </w:tcPr>
          <w:p w14:paraId="677246FB" w14:textId="77777777" w:rsidR="005E1305" w:rsidRPr="00F21EFE" w:rsidRDefault="005E1305" w:rsidP="00306342">
            <w:pPr>
              <w:ind w:left="7" w:hanging="7"/>
              <w:rPr>
                <w:rFonts w:ascii="Arial" w:hAnsi="Arial" w:cs="Arial"/>
                <w:sz w:val="24"/>
                <w:szCs w:val="24"/>
              </w:rPr>
            </w:pPr>
          </w:p>
        </w:tc>
      </w:tr>
      <w:tr w:rsidR="005E1305" w14:paraId="20794DF6" w14:textId="77777777" w:rsidTr="00306342">
        <w:trPr>
          <w:trHeight w:val="20"/>
        </w:trPr>
        <w:tc>
          <w:tcPr>
            <w:tcW w:w="2671" w:type="dxa"/>
            <w:vMerge w:val="restart"/>
          </w:tcPr>
          <w:p w14:paraId="4CF4EC03" w14:textId="77777777" w:rsidR="005E1305" w:rsidRPr="00F21EFE" w:rsidRDefault="005E1305" w:rsidP="00306342">
            <w:pPr>
              <w:ind w:left="7" w:hanging="7"/>
              <w:rPr>
                <w:rFonts w:ascii="Arial" w:hAnsi="Arial" w:cs="Arial"/>
                <w:sz w:val="24"/>
                <w:szCs w:val="24"/>
              </w:rPr>
            </w:pPr>
            <w:r>
              <w:rPr>
                <w:rFonts w:ascii="Arial" w:hAnsi="Arial" w:cs="Arial"/>
                <w:sz w:val="24"/>
                <w:szCs w:val="24"/>
              </w:rPr>
              <w:t>Delivering Best Quality Services</w:t>
            </w:r>
          </w:p>
        </w:tc>
        <w:tc>
          <w:tcPr>
            <w:tcW w:w="6378" w:type="dxa"/>
          </w:tcPr>
          <w:p w14:paraId="6B0F0A33"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Access and Flow</w:t>
            </w:r>
          </w:p>
        </w:tc>
        <w:tc>
          <w:tcPr>
            <w:tcW w:w="827" w:type="dxa"/>
          </w:tcPr>
          <w:p w14:paraId="3B0741EF" w14:textId="77777777" w:rsidR="005E1305" w:rsidRPr="00F21EFE" w:rsidRDefault="005E1305" w:rsidP="00306342">
            <w:pPr>
              <w:ind w:left="7" w:hanging="7"/>
              <w:rPr>
                <w:rFonts w:ascii="Arial" w:hAnsi="Arial" w:cs="Arial"/>
                <w:sz w:val="24"/>
                <w:szCs w:val="24"/>
              </w:rPr>
            </w:pPr>
          </w:p>
        </w:tc>
      </w:tr>
      <w:tr w:rsidR="005E1305" w14:paraId="5633E17B" w14:textId="77777777" w:rsidTr="00306342">
        <w:trPr>
          <w:trHeight w:val="20"/>
        </w:trPr>
        <w:tc>
          <w:tcPr>
            <w:tcW w:w="2671" w:type="dxa"/>
            <w:vMerge/>
          </w:tcPr>
          <w:p w14:paraId="68B08B90" w14:textId="77777777" w:rsidR="005E1305" w:rsidRPr="00F21EFE" w:rsidRDefault="005E1305" w:rsidP="00306342">
            <w:pPr>
              <w:ind w:left="7" w:hanging="7"/>
              <w:rPr>
                <w:rFonts w:ascii="Arial" w:hAnsi="Arial" w:cs="Arial"/>
                <w:sz w:val="24"/>
                <w:szCs w:val="24"/>
              </w:rPr>
            </w:pPr>
          </w:p>
        </w:tc>
        <w:tc>
          <w:tcPr>
            <w:tcW w:w="6378" w:type="dxa"/>
          </w:tcPr>
          <w:p w14:paraId="57E7122A" w14:textId="77777777" w:rsidR="005E1305" w:rsidRPr="00F21EFE" w:rsidRDefault="005E1305" w:rsidP="00306342">
            <w:pPr>
              <w:ind w:left="7" w:hanging="7"/>
              <w:rPr>
                <w:rFonts w:ascii="Arial" w:hAnsi="Arial" w:cs="Arial"/>
                <w:sz w:val="24"/>
                <w:szCs w:val="24"/>
              </w:rPr>
            </w:pPr>
            <w:r>
              <w:rPr>
                <w:rFonts w:ascii="Arial" w:hAnsi="Arial" w:cs="Arial"/>
                <w:sz w:val="24"/>
                <w:szCs w:val="24"/>
              </w:rPr>
              <w:t xml:space="preserve">Learning for Improvement </w:t>
            </w:r>
          </w:p>
        </w:tc>
        <w:tc>
          <w:tcPr>
            <w:tcW w:w="827" w:type="dxa"/>
          </w:tcPr>
          <w:p w14:paraId="56B0C2F4" w14:textId="765CB337"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2D5DAD5C" w14:textId="77777777" w:rsidTr="00306342">
        <w:trPr>
          <w:trHeight w:val="20"/>
        </w:trPr>
        <w:tc>
          <w:tcPr>
            <w:tcW w:w="2671" w:type="dxa"/>
            <w:vMerge/>
          </w:tcPr>
          <w:p w14:paraId="1F5E1988" w14:textId="77777777" w:rsidR="005E1305" w:rsidRPr="00F21EFE" w:rsidRDefault="005E1305" w:rsidP="00306342">
            <w:pPr>
              <w:ind w:left="7" w:hanging="7"/>
              <w:rPr>
                <w:rFonts w:ascii="Arial" w:hAnsi="Arial" w:cs="Arial"/>
                <w:sz w:val="24"/>
                <w:szCs w:val="24"/>
              </w:rPr>
            </w:pPr>
          </w:p>
        </w:tc>
        <w:tc>
          <w:tcPr>
            <w:tcW w:w="6378" w:type="dxa"/>
          </w:tcPr>
          <w:p w14:paraId="780634D2" w14:textId="77777777" w:rsidR="005E1305" w:rsidRPr="00F21EFE" w:rsidRDefault="005E1305" w:rsidP="00306342">
            <w:pPr>
              <w:ind w:left="7" w:hanging="7"/>
              <w:rPr>
                <w:rFonts w:ascii="Arial" w:hAnsi="Arial" w:cs="Arial"/>
                <w:sz w:val="24"/>
                <w:szCs w:val="24"/>
              </w:rPr>
            </w:pPr>
            <w:r>
              <w:rPr>
                <w:rFonts w:ascii="Arial" w:hAnsi="Arial" w:cs="Arial"/>
                <w:sz w:val="24"/>
                <w:szCs w:val="24"/>
              </w:rPr>
              <w:t>Improving the experience of people who use our services</w:t>
            </w:r>
          </w:p>
        </w:tc>
        <w:tc>
          <w:tcPr>
            <w:tcW w:w="827" w:type="dxa"/>
          </w:tcPr>
          <w:p w14:paraId="212541E5" w14:textId="00C19DEF"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r w:rsidR="005E1305" w14:paraId="72B735BC" w14:textId="77777777" w:rsidTr="00306342">
        <w:trPr>
          <w:trHeight w:val="20"/>
        </w:trPr>
        <w:tc>
          <w:tcPr>
            <w:tcW w:w="2671" w:type="dxa"/>
            <w:vMerge w:val="restart"/>
          </w:tcPr>
          <w:p w14:paraId="7DD05A9D" w14:textId="77777777" w:rsidR="005E1305" w:rsidRPr="00F21EFE" w:rsidRDefault="005E1305" w:rsidP="00306342">
            <w:pPr>
              <w:ind w:left="7" w:hanging="7"/>
              <w:rPr>
                <w:rFonts w:ascii="Arial" w:hAnsi="Arial" w:cs="Arial"/>
                <w:sz w:val="24"/>
                <w:szCs w:val="24"/>
              </w:rPr>
            </w:pPr>
            <w:r>
              <w:rPr>
                <w:rFonts w:ascii="Arial" w:hAnsi="Arial" w:cs="Arial"/>
                <w:sz w:val="24"/>
                <w:szCs w:val="24"/>
              </w:rPr>
              <w:t>Making Best Use of Resources</w:t>
            </w:r>
          </w:p>
        </w:tc>
        <w:tc>
          <w:tcPr>
            <w:tcW w:w="6378" w:type="dxa"/>
          </w:tcPr>
          <w:p w14:paraId="3D314214" w14:textId="77777777" w:rsidR="005E1305" w:rsidRPr="00F21EFE" w:rsidRDefault="005E1305" w:rsidP="00306342">
            <w:pPr>
              <w:ind w:left="7" w:hanging="7"/>
              <w:rPr>
                <w:rFonts w:ascii="Arial" w:hAnsi="Arial" w:cs="Arial"/>
                <w:sz w:val="24"/>
                <w:szCs w:val="24"/>
              </w:rPr>
            </w:pPr>
            <w:r>
              <w:rPr>
                <w:rFonts w:ascii="Arial" w:hAnsi="Arial" w:cs="Arial"/>
                <w:sz w:val="24"/>
                <w:szCs w:val="24"/>
              </w:rPr>
              <w:t>Financial sustainability</w:t>
            </w:r>
          </w:p>
        </w:tc>
        <w:tc>
          <w:tcPr>
            <w:tcW w:w="827" w:type="dxa"/>
          </w:tcPr>
          <w:p w14:paraId="25C0DBA6" w14:textId="77777777" w:rsidR="005E1305" w:rsidRPr="00F21EFE" w:rsidRDefault="005E1305" w:rsidP="00306342">
            <w:pPr>
              <w:ind w:left="7" w:hanging="7"/>
              <w:rPr>
                <w:rFonts w:ascii="Arial" w:hAnsi="Arial" w:cs="Arial"/>
                <w:sz w:val="24"/>
                <w:szCs w:val="24"/>
              </w:rPr>
            </w:pPr>
          </w:p>
        </w:tc>
      </w:tr>
      <w:tr w:rsidR="005E1305" w14:paraId="6F144E2B" w14:textId="77777777" w:rsidTr="00306342">
        <w:trPr>
          <w:trHeight w:val="20"/>
        </w:trPr>
        <w:tc>
          <w:tcPr>
            <w:tcW w:w="2671" w:type="dxa"/>
            <w:vMerge/>
          </w:tcPr>
          <w:p w14:paraId="7995639B" w14:textId="77777777" w:rsidR="005E1305" w:rsidRPr="00F21EFE" w:rsidRDefault="005E1305" w:rsidP="00306342">
            <w:pPr>
              <w:ind w:left="7" w:hanging="7"/>
              <w:rPr>
                <w:rFonts w:ascii="Arial" w:hAnsi="Arial" w:cs="Arial"/>
                <w:sz w:val="24"/>
                <w:szCs w:val="24"/>
              </w:rPr>
            </w:pPr>
          </w:p>
        </w:tc>
        <w:tc>
          <w:tcPr>
            <w:tcW w:w="6378" w:type="dxa"/>
          </w:tcPr>
          <w:p w14:paraId="731B2A51" w14:textId="77777777" w:rsidR="005E1305" w:rsidRPr="00F21EFE" w:rsidRDefault="005E1305" w:rsidP="00306342">
            <w:pPr>
              <w:ind w:left="7" w:hanging="7"/>
              <w:rPr>
                <w:rFonts w:ascii="Arial" w:hAnsi="Arial" w:cs="Arial"/>
                <w:sz w:val="24"/>
                <w:szCs w:val="24"/>
              </w:rPr>
            </w:pPr>
            <w:r>
              <w:rPr>
                <w:rFonts w:ascii="Arial" w:hAnsi="Arial" w:cs="Arial"/>
                <w:sz w:val="24"/>
                <w:szCs w:val="24"/>
              </w:rPr>
              <w:t>Our environment and workplace</w:t>
            </w:r>
          </w:p>
        </w:tc>
        <w:tc>
          <w:tcPr>
            <w:tcW w:w="827" w:type="dxa"/>
          </w:tcPr>
          <w:p w14:paraId="74334CC0" w14:textId="77777777" w:rsidR="005E1305" w:rsidRPr="00F21EFE" w:rsidRDefault="005E1305" w:rsidP="00306342">
            <w:pPr>
              <w:ind w:left="7" w:hanging="7"/>
              <w:rPr>
                <w:rFonts w:ascii="Arial" w:hAnsi="Arial" w:cs="Arial"/>
                <w:sz w:val="24"/>
                <w:szCs w:val="24"/>
              </w:rPr>
            </w:pPr>
          </w:p>
        </w:tc>
      </w:tr>
      <w:tr w:rsidR="005E1305" w14:paraId="3798F373" w14:textId="77777777" w:rsidTr="00306342">
        <w:trPr>
          <w:trHeight w:val="20"/>
        </w:trPr>
        <w:tc>
          <w:tcPr>
            <w:tcW w:w="2671" w:type="dxa"/>
            <w:vMerge/>
          </w:tcPr>
          <w:p w14:paraId="7907C187" w14:textId="77777777" w:rsidR="005E1305" w:rsidRPr="00F21EFE" w:rsidRDefault="005E1305" w:rsidP="00306342">
            <w:pPr>
              <w:ind w:left="7" w:hanging="7"/>
              <w:rPr>
                <w:rFonts w:ascii="Arial" w:hAnsi="Arial" w:cs="Arial"/>
                <w:sz w:val="24"/>
                <w:szCs w:val="24"/>
              </w:rPr>
            </w:pPr>
          </w:p>
        </w:tc>
        <w:tc>
          <w:tcPr>
            <w:tcW w:w="6378" w:type="dxa"/>
          </w:tcPr>
          <w:p w14:paraId="39984643" w14:textId="77777777" w:rsidR="005E1305" w:rsidRPr="00F21EFE" w:rsidRDefault="005E1305" w:rsidP="00306342">
            <w:pPr>
              <w:ind w:left="7" w:hanging="7"/>
              <w:rPr>
                <w:rFonts w:ascii="Arial" w:hAnsi="Arial" w:cs="Arial"/>
                <w:sz w:val="24"/>
                <w:szCs w:val="24"/>
              </w:rPr>
            </w:pPr>
            <w:r>
              <w:rPr>
                <w:rFonts w:ascii="Arial" w:hAnsi="Arial" w:cs="Arial"/>
                <w:sz w:val="24"/>
                <w:szCs w:val="24"/>
              </w:rPr>
              <w:t>Giving back to our communities</w:t>
            </w:r>
          </w:p>
        </w:tc>
        <w:tc>
          <w:tcPr>
            <w:tcW w:w="827" w:type="dxa"/>
          </w:tcPr>
          <w:p w14:paraId="21CC59AD" w14:textId="77777777" w:rsidR="005E1305" w:rsidRPr="00F21EFE" w:rsidRDefault="005E1305" w:rsidP="00306342">
            <w:pPr>
              <w:ind w:left="7" w:hanging="7"/>
              <w:rPr>
                <w:rFonts w:ascii="Arial" w:hAnsi="Arial" w:cs="Arial"/>
                <w:sz w:val="24"/>
                <w:szCs w:val="24"/>
              </w:rPr>
            </w:pPr>
          </w:p>
        </w:tc>
      </w:tr>
      <w:tr w:rsidR="005E1305" w14:paraId="05140B3E" w14:textId="77777777" w:rsidTr="00306342">
        <w:trPr>
          <w:trHeight w:val="20"/>
        </w:trPr>
        <w:tc>
          <w:tcPr>
            <w:tcW w:w="2671" w:type="dxa"/>
          </w:tcPr>
          <w:p w14:paraId="01C06610" w14:textId="77777777" w:rsidR="005E1305" w:rsidRPr="00F21EFE" w:rsidRDefault="005E1305" w:rsidP="00306342">
            <w:pPr>
              <w:ind w:left="7" w:hanging="7"/>
              <w:rPr>
                <w:rFonts w:ascii="Arial" w:hAnsi="Arial" w:cs="Arial"/>
                <w:sz w:val="24"/>
                <w:szCs w:val="24"/>
              </w:rPr>
            </w:pPr>
            <w:r>
              <w:rPr>
                <w:rFonts w:ascii="Arial" w:hAnsi="Arial" w:cs="Arial"/>
                <w:sz w:val="24"/>
                <w:szCs w:val="24"/>
              </w:rPr>
              <w:t>Being the Best Partner</w:t>
            </w:r>
          </w:p>
        </w:tc>
        <w:tc>
          <w:tcPr>
            <w:tcW w:w="6378" w:type="dxa"/>
          </w:tcPr>
          <w:p w14:paraId="4D181AC6" w14:textId="77777777" w:rsidR="005E1305" w:rsidRPr="00F21EFE" w:rsidRDefault="005E1305" w:rsidP="00306342">
            <w:pPr>
              <w:ind w:left="7" w:hanging="7"/>
              <w:rPr>
                <w:rFonts w:ascii="Arial" w:hAnsi="Arial" w:cs="Arial"/>
                <w:sz w:val="24"/>
                <w:szCs w:val="24"/>
              </w:rPr>
            </w:pPr>
            <w:r>
              <w:rPr>
                <w:rFonts w:ascii="Arial" w:hAnsi="Arial" w:cs="Arial"/>
                <w:sz w:val="24"/>
                <w:szCs w:val="24"/>
              </w:rPr>
              <w:t>Partnership</w:t>
            </w:r>
          </w:p>
        </w:tc>
        <w:tc>
          <w:tcPr>
            <w:tcW w:w="827" w:type="dxa"/>
          </w:tcPr>
          <w:p w14:paraId="30C80928" w14:textId="77777777" w:rsidR="005E1305" w:rsidRPr="00F21EFE" w:rsidRDefault="005E1305" w:rsidP="00306342">
            <w:pPr>
              <w:ind w:left="7" w:hanging="7"/>
              <w:rPr>
                <w:rFonts w:ascii="Arial" w:hAnsi="Arial" w:cs="Arial"/>
                <w:sz w:val="24"/>
                <w:szCs w:val="24"/>
              </w:rPr>
            </w:pPr>
          </w:p>
        </w:tc>
      </w:tr>
      <w:tr w:rsidR="005E1305" w14:paraId="5CE8CAD4" w14:textId="77777777" w:rsidTr="00306342">
        <w:trPr>
          <w:trHeight w:val="20"/>
        </w:trPr>
        <w:tc>
          <w:tcPr>
            <w:tcW w:w="2671" w:type="dxa"/>
          </w:tcPr>
          <w:p w14:paraId="6CFFF67A" w14:textId="77777777" w:rsidR="005E1305" w:rsidRPr="00F21EFE" w:rsidRDefault="005E1305" w:rsidP="00306342">
            <w:pPr>
              <w:ind w:left="7" w:hanging="7"/>
              <w:rPr>
                <w:rFonts w:ascii="Arial" w:hAnsi="Arial" w:cs="Arial"/>
                <w:sz w:val="24"/>
                <w:szCs w:val="24"/>
              </w:rPr>
            </w:pPr>
            <w:r>
              <w:rPr>
                <w:rFonts w:ascii="Arial" w:hAnsi="Arial" w:cs="Arial"/>
                <w:sz w:val="24"/>
                <w:szCs w:val="24"/>
              </w:rPr>
              <w:t>Good governance</w:t>
            </w:r>
          </w:p>
        </w:tc>
        <w:tc>
          <w:tcPr>
            <w:tcW w:w="6378" w:type="dxa"/>
          </w:tcPr>
          <w:p w14:paraId="329FA5ED" w14:textId="77777777" w:rsidR="005E1305" w:rsidRPr="00F21EFE" w:rsidRDefault="005E1305" w:rsidP="00306342">
            <w:pPr>
              <w:ind w:left="7" w:hanging="7"/>
              <w:rPr>
                <w:rFonts w:ascii="Arial" w:hAnsi="Arial" w:cs="Arial"/>
                <w:sz w:val="24"/>
                <w:szCs w:val="24"/>
              </w:rPr>
            </w:pPr>
            <w:r>
              <w:rPr>
                <w:rFonts w:ascii="Arial" w:hAnsi="Arial" w:cs="Arial"/>
                <w:sz w:val="24"/>
                <w:szCs w:val="24"/>
              </w:rPr>
              <w:t>Governance, accountability &amp; oversight</w:t>
            </w:r>
          </w:p>
        </w:tc>
        <w:tc>
          <w:tcPr>
            <w:tcW w:w="827" w:type="dxa"/>
          </w:tcPr>
          <w:p w14:paraId="31AD3576" w14:textId="1ED49253" w:rsidR="005E1305" w:rsidRPr="00F21EFE" w:rsidRDefault="005E1305" w:rsidP="005E1305">
            <w:pPr>
              <w:ind w:left="7" w:hanging="7"/>
              <w:jc w:val="center"/>
              <w:rPr>
                <w:rFonts w:ascii="Arial" w:hAnsi="Arial" w:cs="Arial"/>
                <w:sz w:val="24"/>
                <w:szCs w:val="24"/>
              </w:rPr>
            </w:pPr>
            <w:r>
              <w:rPr>
                <w:rFonts w:ascii="Arial" w:hAnsi="Arial" w:cs="Arial"/>
                <w:sz w:val="24"/>
                <w:szCs w:val="24"/>
              </w:rPr>
              <w:t>√</w:t>
            </w:r>
          </w:p>
        </w:tc>
      </w:tr>
    </w:tbl>
    <w:p w14:paraId="167F4AF8" w14:textId="77777777" w:rsidR="005E1305" w:rsidRDefault="005E1305"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9D6B41" w14:paraId="1A39C0D6" w14:textId="77777777" w:rsidTr="00D87B4F">
        <w:tc>
          <w:tcPr>
            <w:tcW w:w="9892" w:type="dxa"/>
            <w:shd w:val="clear" w:color="auto" w:fill="C7D4ED"/>
          </w:tcPr>
          <w:p w14:paraId="462F28B7" w14:textId="03488C31" w:rsidR="009D6B41" w:rsidRPr="00F6167B" w:rsidRDefault="009D6B41" w:rsidP="00C62872">
            <w:pPr>
              <w:rPr>
                <w:rFonts w:ascii="Arial" w:hAnsi="Arial" w:cs="Arial"/>
                <w:color w:val="E90000"/>
                <w:sz w:val="24"/>
                <w:szCs w:val="24"/>
              </w:rPr>
            </w:pPr>
            <w:r w:rsidRPr="009D6B41">
              <w:rPr>
                <w:rFonts w:ascii="Arial" w:hAnsi="Arial" w:cs="Arial"/>
                <w:b/>
                <w:bCs/>
                <w:sz w:val="24"/>
                <w:szCs w:val="24"/>
              </w:rPr>
              <w:lastRenderedPageBreak/>
              <w:t>Purpose of the report</w:t>
            </w:r>
            <w:r w:rsidR="0020760B">
              <w:rPr>
                <w:rFonts w:ascii="Arial" w:hAnsi="Arial" w:cs="Arial"/>
                <w:b/>
                <w:bCs/>
                <w:sz w:val="24"/>
                <w:szCs w:val="24"/>
              </w:rPr>
              <w:t xml:space="preserve"> </w:t>
            </w:r>
          </w:p>
        </w:tc>
      </w:tr>
      <w:tr w:rsidR="00011BFE" w14:paraId="45B14F39" w14:textId="77777777" w:rsidTr="00632C05">
        <w:tc>
          <w:tcPr>
            <w:tcW w:w="9892" w:type="dxa"/>
          </w:tcPr>
          <w:p w14:paraId="166BEEB5" w14:textId="0175EF57" w:rsidR="00756582" w:rsidRPr="00C43736" w:rsidRDefault="00E0620C" w:rsidP="00C62872">
            <w:pPr>
              <w:rPr>
                <w:rFonts w:ascii="Arial" w:hAnsi="Arial" w:cs="Arial"/>
                <w:color w:val="E90000"/>
                <w:sz w:val="24"/>
                <w:szCs w:val="24"/>
              </w:rPr>
            </w:pPr>
            <w:r w:rsidRPr="00314668">
              <w:rPr>
                <w:rFonts w:ascii="Arial" w:hAnsi="Arial" w:cs="Arial"/>
                <w:sz w:val="24"/>
                <w:szCs w:val="24"/>
              </w:rPr>
              <w:t>The purpose of this report it to provide Board with an overview of the learning the Trust has taken from the deaths of patients within its care during Q</w:t>
            </w:r>
            <w:r w:rsidR="0027197D">
              <w:rPr>
                <w:rFonts w:ascii="Arial" w:hAnsi="Arial" w:cs="Arial"/>
                <w:sz w:val="24"/>
                <w:szCs w:val="24"/>
              </w:rPr>
              <w:t>3</w:t>
            </w:r>
            <w:r w:rsidRPr="00314668">
              <w:rPr>
                <w:rFonts w:ascii="Arial" w:hAnsi="Arial" w:cs="Arial"/>
                <w:sz w:val="24"/>
                <w:szCs w:val="24"/>
              </w:rPr>
              <w:t>, 202</w:t>
            </w:r>
            <w:r w:rsidR="005E4CF0">
              <w:rPr>
                <w:rFonts w:ascii="Arial" w:hAnsi="Arial" w:cs="Arial"/>
                <w:sz w:val="24"/>
                <w:szCs w:val="24"/>
              </w:rPr>
              <w:t>5/26</w:t>
            </w:r>
            <w:r w:rsidRPr="00314668">
              <w:rPr>
                <w:rFonts w:ascii="Arial" w:hAnsi="Arial" w:cs="Arial"/>
                <w:sz w:val="24"/>
                <w:szCs w:val="24"/>
              </w:rPr>
              <w:t>.</w:t>
            </w:r>
          </w:p>
        </w:tc>
      </w:tr>
    </w:tbl>
    <w:p w14:paraId="3F839B79" w14:textId="036CB1F0" w:rsidR="001E1A92" w:rsidRDefault="001E1A92"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4513"/>
        <w:gridCol w:w="5363"/>
      </w:tblGrid>
      <w:tr w:rsidR="00033209" w14:paraId="5739326B" w14:textId="77777777" w:rsidTr="0CF1AE7A">
        <w:tc>
          <w:tcPr>
            <w:tcW w:w="9876" w:type="dxa"/>
            <w:gridSpan w:val="2"/>
            <w:shd w:val="clear" w:color="auto" w:fill="C7D4ED"/>
          </w:tcPr>
          <w:p w14:paraId="18B0F1CE" w14:textId="1136D7FF" w:rsidR="00033209" w:rsidRPr="00033209" w:rsidRDefault="00033209" w:rsidP="00C62872">
            <w:pPr>
              <w:rPr>
                <w:rFonts w:ascii="Arial" w:hAnsi="Arial" w:cs="Arial"/>
                <w:b/>
                <w:bCs/>
                <w:sz w:val="24"/>
                <w:szCs w:val="24"/>
              </w:rPr>
            </w:pPr>
            <w:r w:rsidRPr="00033209">
              <w:rPr>
                <w:rFonts w:ascii="Arial" w:hAnsi="Arial" w:cs="Arial"/>
                <w:b/>
                <w:bCs/>
                <w:sz w:val="24"/>
                <w:szCs w:val="24"/>
              </w:rPr>
              <w:t>Executive Summary</w:t>
            </w:r>
            <w:r w:rsidR="007A3950">
              <w:rPr>
                <w:rFonts w:ascii="Arial" w:hAnsi="Arial" w:cs="Arial"/>
                <w:b/>
                <w:bCs/>
                <w:sz w:val="24"/>
                <w:szCs w:val="24"/>
              </w:rPr>
              <w:t xml:space="preserve"> </w:t>
            </w:r>
          </w:p>
        </w:tc>
      </w:tr>
      <w:tr w:rsidR="00033209" w14:paraId="7DC6961A" w14:textId="77777777" w:rsidTr="0CF1AE7A">
        <w:tc>
          <w:tcPr>
            <w:tcW w:w="9876" w:type="dxa"/>
            <w:gridSpan w:val="2"/>
            <w:tcBorders>
              <w:bottom w:val="single" w:sz="4" w:space="0" w:color="0070C0"/>
            </w:tcBorders>
          </w:tcPr>
          <w:p w14:paraId="2F3001C0" w14:textId="05D408FC" w:rsidR="00E0620C" w:rsidRPr="00274631" w:rsidRDefault="00E0620C" w:rsidP="00E0620C">
            <w:pPr>
              <w:rPr>
                <w:rFonts w:ascii="Arial" w:hAnsi="Arial" w:cs="Arial"/>
                <w:color w:val="000000" w:themeColor="text1"/>
                <w:sz w:val="24"/>
                <w:szCs w:val="24"/>
              </w:rPr>
            </w:pPr>
            <w:r w:rsidRPr="00D23EB7">
              <w:rPr>
                <w:rFonts w:ascii="Arial" w:hAnsi="Arial" w:cs="Arial"/>
                <w:sz w:val="24"/>
                <w:szCs w:val="24"/>
              </w:rPr>
              <w:t>Learning from deaths is supported by two key policies in B</w:t>
            </w:r>
            <w:r w:rsidR="00D07EC8" w:rsidRPr="00D23EB7">
              <w:rPr>
                <w:rFonts w:ascii="Arial" w:hAnsi="Arial" w:cs="Arial"/>
                <w:sz w:val="24"/>
                <w:szCs w:val="24"/>
              </w:rPr>
              <w:t>radford District Care Foundation Trust (B</w:t>
            </w:r>
            <w:r w:rsidRPr="00D23EB7">
              <w:rPr>
                <w:rFonts w:ascii="Arial" w:hAnsi="Arial" w:cs="Arial"/>
                <w:sz w:val="24"/>
                <w:szCs w:val="24"/>
              </w:rPr>
              <w:t>DC</w:t>
            </w:r>
            <w:r w:rsidR="00E623FA" w:rsidRPr="00D23EB7">
              <w:rPr>
                <w:rFonts w:ascii="Arial" w:hAnsi="Arial" w:cs="Arial"/>
                <w:sz w:val="24"/>
                <w:szCs w:val="24"/>
              </w:rPr>
              <w:t>F</w:t>
            </w:r>
            <w:r w:rsidRPr="00D23EB7">
              <w:rPr>
                <w:rFonts w:ascii="Arial" w:hAnsi="Arial" w:cs="Arial"/>
                <w:sz w:val="24"/>
                <w:szCs w:val="24"/>
              </w:rPr>
              <w:t>T</w:t>
            </w:r>
            <w:r w:rsidR="00D07EC8" w:rsidRPr="00D23EB7">
              <w:rPr>
                <w:rFonts w:ascii="Arial" w:hAnsi="Arial" w:cs="Arial"/>
                <w:sz w:val="24"/>
                <w:szCs w:val="24"/>
              </w:rPr>
              <w:t>)</w:t>
            </w:r>
            <w:r w:rsidRPr="00D23EB7">
              <w:rPr>
                <w:rFonts w:ascii="Arial" w:hAnsi="Arial" w:cs="Arial"/>
                <w:sz w:val="24"/>
                <w:szCs w:val="24"/>
              </w:rPr>
              <w:t xml:space="preserve">, the </w:t>
            </w:r>
            <w:r w:rsidR="00DB2279" w:rsidRPr="00D23EB7">
              <w:rPr>
                <w:rFonts w:ascii="Arial" w:hAnsi="Arial" w:cs="Arial"/>
                <w:sz w:val="24"/>
                <w:szCs w:val="24"/>
              </w:rPr>
              <w:t>Patient Safety Incident Response Policy</w:t>
            </w:r>
            <w:r w:rsidR="00B440E9" w:rsidRPr="00D23EB7">
              <w:rPr>
                <w:rFonts w:ascii="Arial" w:hAnsi="Arial" w:cs="Arial"/>
                <w:sz w:val="24"/>
                <w:szCs w:val="24"/>
              </w:rPr>
              <w:t xml:space="preserve"> </w:t>
            </w:r>
            <w:r w:rsidR="00FF7923">
              <w:rPr>
                <w:rFonts w:ascii="Arial" w:hAnsi="Arial" w:cs="Arial"/>
                <w:sz w:val="24"/>
                <w:szCs w:val="24"/>
              </w:rPr>
              <w:t xml:space="preserve">and associated Plan </w:t>
            </w:r>
            <w:r w:rsidR="00B440E9" w:rsidRPr="00D23EB7">
              <w:rPr>
                <w:rFonts w:ascii="Arial" w:hAnsi="Arial" w:cs="Arial"/>
                <w:sz w:val="24"/>
                <w:szCs w:val="24"/>
              </w:rPr>
              <w:t>(PSIRP)</w:t>
            </w:r>
            <w:r w:rsidR="00DB2279" w:rsidRPr="00D23EB7">
              <w:rPr>
                <w:rFonts w:ascii="Arial" w:hAnsi="Arial" w:cs="Arial"/>
                <w:sz w:val="24"/>
                <w:szCs w:val="24"/>
              </w:rPr>
              <w:t xml:space="preserve"> </w:t>
            </w:r>
            <w:r w:rsidRPr="00D23EB7">
              <w:rPr>
                <w:rFonts w:ascii="Arial" w:hAnsi="Arial" w:cs="Arial"/>
                <w:sz w:val="24"/>
                <w:szCs w:val="24"/>
              </w:rPr>
              <w:t xml:space="preserve">and the Learning from Deaths </w:t>
            </w:r>
            <w:r w:rsidR="00B440E9" w:rsidRPr="00D23EB7">
              <w:rPr>
                <w:rFonts w:ascii="Arial" w:hAnsi="Arial" w:cs="Arial"/>
                <w:sz w:val="24"/>
                <w:szCs w:val="24"/>
              </w:rPr>
              <w:t>(</w:t>
            </w:r>
            <w:proofErr w:type="spellStart"/>
            <w:r w:rsidR="00B440E9" w:rsidRPr="00D23EB7">
              <w:rPr>
                <w:rFonts w:ascii="Arial" w:hAnsi="Arial" w:cs="Arial"/>
                <w:sz w:val="24"/>
                <w:szCs w:val="24"/>
              </w:rPr>
              <w:t>LfD</w:t>
            </w:r>
            <w:proofErr w:type="spellEnd"/>
            <w:r w:rsidR="00B440E9" w:rsidRPr="00D23EB7">
              <w:rPr>
                <w:rFonts w:ascii="Arial" w:hAnsi="Arial" w:cs="Arial"/>
                <w:sz w:val="24"/>
                <w:szCs w:val="24"/>
              </w:rPr>
              <w:t>) P</w:t>
            </w:r>
            <w:r w:rsidRPr="00D23EB7">
              <w:rPr>
                <w:rFonts w:ascii="Arial" w:hAnsi="Arial" w:cs="Arial"/>
                <w:sz w:val="24"/>
                <w:szCs w:val="24"/>
              </w:rPr>
              <w:t xml:space="preserve">olicy. These policies guide and inform the organisation about reporting, investigating and learning from deaths. Between </w:t>
            </w:r>
            <w:r w:rsidR="00AF221F" w:rsidRPr="007B79A1">
              <w:rPr>
                <w:rFonts w:ascii="Arial" w:hAnsi="Arial" w:cs="Arial"/>
                <w:sz w:val="24"/>
                <w:szCs w:val="24"/>
              </w:rPr>
              <w:t xml:space="preserve">01 </w:t>
            </w:r>
            <w:r w:rsidR="0027197D">
              <w:rPr>
                <w:rFonts w:ascii="Arial" w:hAnsi="Arial" w:cs="Arial"/>
                <w:sz w:val="24"/>
                <w:szCs w:val="24"/>
              </w:rPr>
              <w:t>October</w:t>
            </w:r>
            <w:r w:rsidR="00B523A1" w:rsidRPr="007B79A1">
              <w:rPr>
                <w:rFonts w:ascii="Arial" w:hAnsi="Arial" w:cs="Arial"/>
                <w:sz w:val="24"/>
                <w:szCs w:val="24"/>
              </w:rPr>
              <w:t xml:space="preserve"> </w:t>
            </w:r>
            <w:r w:rsidR="00F81E74" w:rsidRPr="007B79A1">
              <w:rPr>
                <w:rFonts w:ascii="Arial" w:hAnsi="Arial" w:cs="Arial"/>
                <w:sz w:val="24"/>
                <w:szCs w:val="24"/>
              </w:rPr>
              <w:t>202</w:t>
            </w:r>
            <w:r w:rsidR="00047D98" w:rsidRPr="007B79A1">
              <w:rPr>
                <w:rFonts w:ascii="Arial" w:hAnsi="Arial" w:cs="Arial"/>
                <w:sz w:val="24"/>
                <w:szCs w:val="24"/>
              </w:rPr>
              <w:t>5</w:t>
            </w:r>
            <w:r w:rsidR="00361A64" w:rsidRPr="007B79A1">
              <w:rPr>
                <w:rFonts w:ascii="Arial" w:hAnsi="Arial" w:cs="Arial"/>
                <w:sz w:val="24"/>
                <w:szCs w:val="24"/>
              </w:rPr>
              <w:t xml:space="preserve"> a</w:t>
            </w:r>
            <w:r w:rsidR="00AF221F" w:rsidRPr="007B79A1">
              <w:rPr>
                <w:rFonts w:ascii="Arial" w:hAnsi="Arial" w:cs="Arial"/>
                <w:sz w:val="24"/>
                <w:szCs w:val="24"/>
              </w:rPr>
              <w:t>nd 3</w:t>
            </w:r>
            <w:r w:rsidR="0027197D">
              <w:rPr>
                <w:rFonts w:ascii="Arial" w:hAnsi="Arial" w:cs="Arial"/>
                <w:sz w:val="24"/>
                <w:szCs w:val="24"/>
              </w:rPr>
              <w:t>1</w:t>
            </w:r>
            <w:r w:rsidR="00B523A1" w:rsidRPr="007B79A1">
              <w:rPr>
                <w:rFonts w:ascii="Arial" w:hAnsi="Arial" w:cs="Arial"/>
                <w:sz w:val="24"/>
                <w:szCs w:val="24"/>
              </w:rPr>
              <w:t xml:space="preserve"> </w:t>
            </w:r>
            <w:r w:rsidR="0027197D">
              <w:rPr>
                <w:rFonts w:ascii="Arial" w:hAnsi="Arial" w:cs="Arial"/>
                <w:sz w:val="24"/>
                <w:szCs w:val="24"/>
              </w:rPr>
              <w:t>Decem</w:t>
            </w:r>
            <w:r w:rsidR="007B79A1" w:rsidRPr="007B79A1">
              <w:rPr>
                <w:rFonts w:ascii="Arial" w:hAnsi="Arial" w:cs="Arial"/>
                <w:sz w:val="24"/>
                <w:szCs w:val="24"/>
              </w:rPr>
              <w:t>ber</w:t>
            </w:r>
            <w:r w:rsidR="00623752" w:rsidRPr="007B79A1">
              <w:rPr>
                <w:rFonts w:ascii="Arial" w:hAnsi="Arial" w:cs="Arial"/>
                <w:sz w:val="24"/>
                <w:szCs w:val="24"/>
              </w:rPr>
              <w:t xml:space="preserve"> </w:t>
            </w:r>
            <w:r w:rsidR="00AF221F" w:rsidRPr="007B79A1">
              <w:rPr>
                <w:rFonts w:ascii="Arial" w:hAnsi="Arial" w:cs="Arial"/>
                <w:sz w:val="24"/>
                <w:szCs w:val="24"/>
              </w:rPr>
              <w:t>202</w:t>
            </w:r>
            <w:r w:rsidR="00047D98" w:rsidRPr="007B79A1">
              <w:rPr>
                <w:rFonts w:ascii="Arial" w:hAnsi="Arial" w:cs="Arial"/>
                <w:sz w:val="24"/>
                <w:szCs w:val="24"/>
              </w:rPr>
              <w:t>5</w:t>
            </w:r>
            <w:r w:rsidRPr="007B79A1">
              <w:rPr>
                <w:rFonts w:ascii="Arial" w:hAnsi="Arial" w:cs="Arial"/>
                <w:sz w:val="24"/>
                <w:szCs w:val="24"/>
              </w:rPr>
              <w:t xml:space="preserve"> </w:t>
            </w:r>
            <w:r w:rsidRPr="003702DE">
              <w:rPr>
                <w:rFonts w:ascii="Arial" w:hAnsi="Arial" w:cs="Arial"/>
                <w:sz w:val="24"/>
                <w:szCs w:val="24"/>
              </w:rPr>
              <w:t xml:space="preserve">there have been </w:t>
            </w:r>
            <w:r w:rsidR="00ED0D5E">
              <w:rPr>
                <w:rFonts w:ascii="Arial" w:hAnsi="Arial" w:cs="Arial"/>
                <w:sz w:val="24"/>
                <w:szCs w:val="24"/>
              </w:rPr>
              <w:t>100</w:t>
            </w:r>
            <w:r w:rsidR="002554E9" w:rsidRPr="008A6C4D">
              <w:rPr>
                <w:rFonts w:ascii="Arial" w:hAnsi="Arial" w:cs="Arial"/>
                <w:color w:val="FF0000"/>
                <w:sz w:val="24"/>
                <w:szCs w:val="24"/>
              </w:rPr>
              <w:t xml:space="preserve"> </w:t>
            </w:r>
            <w:r w:rsidRPr="00A05F07">
              <w:rPr>
                <w:rFonts w:ascii="Arial" w:hAnsi="Arial" w:cs="Arial"/>
                <w:sz w:val="24"/>
                <w:szCs w:val="24"/>
              </w:rPr>
              <w:t xml:space="preserve">deaths </w:t>
            </w:r>
            <w:r w:rsidRPr="00274631">
              <w:rPr>
                <w:rFonts w:ascii="Arial" w:hAnsi="Arial" w:cs="Arial"/>
                <w:color w:val="000000" w:themeColor="text1"/>
                <w:sz w:val="24"/>
                <w:szCs w:val="24"/>
              </w:rPr>
              <w:t xml:space="preserve">reported. This is </w:t>
            </w:r>
            <w:r w:rsidR="00A05F07" w:rsidRPr="00562A06">
              <w:rPr>
                <w:rFonts w:ascii="Arial" w:hAnsi="Arial" w:cs="Arial"/>
                <w:sz w:val="24"/>
                <w:szCs w:val="24"/>
              </w:rPr>
              <w:t xml:space="preserve">a </w:t>
            </w:r>
            <w:r w:rsidR="00ED0D5E" w:rsidRPr="00ED0D5E">
              <w:rPr>
                <w:rFonts w:ascii="Arial" w:hAnsi="Arial" w:cs="Arial"/>
                <w:color w:val="000000" w:themeColor="text1"/>
                <w:sz w:val="24"/>
                <w:szCs w:val="24"/>
              </w:rPr>
              <w:t>6</w:t>
            </w:r>
            <w:r w:rsidR="00A05F07" w:rsidRPr="00ED0D5E">
              <w:rPr>
                <w:rFonts w:ascii="Arial" w:hAnsi="Arial" w:cs="Arial"/>
                <w:color w:val="000000" w:themeColor="text1"/>
                <w:sz w:val="24"/>
                <w:szCs w:val="24"/>
              </w:rPr>
              <w:t xml:space="preserve">% </w:t>
            </w:r>
            <w:r w:rsidR="00562A06" w:rsidRPr="00ED0D5E">
              <w:rPr>
                <w:rFonts w:ascii="Arial" w:hAnsi="Arial" w:cs="Arial"/>
                <w:color w:val="000000" w:themeColor="text1"/>
                <w:sz w:val="24"/>
                <w:szCs w:val="24"/>
              </w:rPr>
              <w:t xml:space="preserve">increase </w:t>
            </w:r>
            <w:r w:rsidR="00A05F07" w:rsidRPr="00562A06">
              <w:rPr>
                <w:rFonts w:ascii="Arial" w:hAnsi="Arial" w:cs="Arial"/>
                <w:sz w:val="24"/>
                <w:szCs w:val="24"/>
              </w:rPr>
              <w:t>compared</w:t>
            </w:r>
            <w:r w:rsidR="002677F0" w:rsidRPr="00562A06">
              <w:rPr>
                <w:rFonts w:ascii="Arial" w:hAnsi="Arial" w:cs="Arial"/>
                <w:sz w:val="24"/>
                <w:szCs w:val="24"/>
              </w:rPr>
              <w:t xml:space="preserve"> </w:t>
            </w:r>
            <w:r w:rsidR="002677F0" w:rsidRPr="00274631">
              <w:rPr>
                <w:rFonts w:ascii="Arial" w:hAnsi="Arial" w:cs="Arial"/>
                <w:color w:val="000000" w:themeColor="text1"/>
                <w:sz w:val="24"/>
                <w:szCs w:val="24"/>
              </w:rPr>
              <w:t xml:space="preserve">with </w:t>
            </w:r>
            <w:r w:rsidRPr="00274631">
              <w:rPr>
                <w:rFonts w:ascii="Arial" w:hAnsi="Arial" w:cs="Arial"/>
                <w:color w:val="000000" w:themeColor="text1"/>
                <w:sz w:val="24"/>
                <w:szCs w:val="24"/>
              </w:rPr>
              <w:t>the same period the previous year.</w:t>
            </w:r>
            <w:r w:rsidR="001C7D28" w:rsidRPr="00274631">
              <w:rPr>
                <w:rFonts w:ascii="Arial" w:hAnsi="Arial" w:cs="Arial"/>
                <w:color w:val="000000" w:themeColor="text1"/>
                <w:sz w:val="24"/>
                <w:szCs w:val="24"/>
              </w:rPr>
              <w:t xml:space="preserve"> </w:t>
            </w:r>
          </w:p>
          <w:p w14:paraId="5FBFE702" w14:textId="77777777" w:rsidR="00E0620C" w:rsidRPr="00B523A1" w:rsidRDefault="00E0620C" w:rsidP="00E0620C">
            <w:pPr>
              <w:rPr>
                <w:rFonts w:ascii="Arial" w:hAnsi="Arial" w:cs="Arial"/>
                <w:color w:val="FF0000"/>
                <w:sz w:val="24"/>
                <w:szCs w:val="24"/>
              </w:rPr>
            </w:pPr>
          </w:p>
          <w:p w14:paraId="25D06370" w14:textId="7DB78D4A" w:rsidR="00DA3876" w:rsidRPr="007145FA" w:rsidRDefault="00A96F24" w:rsidP="00DA3876">
            <w:pPr>
              <w:rPr>
                <w:rFonts w:ascii="Arial" w:hAnsi="Arial" w:cs="Arial"/>
                <w:sz w:val="24"/>
                <w:szCs w:val="24"/>
              </w:rPr>
            </w:pPr>
            <w:r w:rsidRPr="0CF1AE7A">
              <w:rPr>
                <w:rFonts w:ascii="Arial" w:hAnsi="Arial" w:cs="Arial"/>
                <w:b/>
                <w:bCs/>
                <w:color w:val="000000" w:themeColor="text1"/>
                <w:sz w:val="24"/>
                <w:szCs w:val="24"/>
                <w:lang w:eastAsia="en-GB"/>
              </w:rPr>
              <w:t>4</w:t>
            </w:r>
            <w:r w:rsidR="00B4590B" w:rsidRPr="0CF1AE7A">
              <w:rPr>
                <w:rFonts w:ascii="Arial" w:hAnsi="Arial" w:cs="Arial"/>
                <w:b/>
                <w:bCs/>
                <w:sz w:val="24"/>
                <w:szCs w:val="24"/>
                <w:lang w:eastAsia="en-GB"/>
              </w:rPr>
              <w:t xml:space="preserve"> </w:t>
            </w:r>
            <w:r w:rsidR="00DA3876" w:rsidRPr="0CF1AE7A">
              <w:rPr>
                <w:rFonts w:ascii="Arial" w:hAnsi="Arial" w:cs="Arial"/>
                <w:sz w:val="24"/>
                <w:szCs w:val="24"/>
              </w:rPr>
              <w:t>Patient Safety Incident Investigation report</w:t>
            </w:r>
            <w:r w:rsidR="007145FA" w:rsidRPr="0CF1AE7A">
              <w:rPr>
                <w:rFonts w:ascii="Arial" w:hAnsi="Arial" w:cs="Arial"/>
                <w:sz w:val="24"/>
                <w:szCs w:val="24"/>
              </w:rPr>
              <w:t>s have</w:t>
            </w:r>
            <w:r w:rsidR="00DA3876" w:rsidRPr="0CF1AE7A">
              <w:rPr>
                <w:rFonts w:ascii="Arial" w:hAnsi="Arial" w:cs="Arial"/>
                <w:sz w:val="24"/>
                <w:szCs w:val="24"/>
              </w:rPr>
              <w:t xml:space="preserve"> been completed</w:t>
            </w:r>
            <w:r w:rsidR="002725B9" w:rsidRPr="0CF1AE7A">
              <w:rPr>
                <w:rFonts w:ascii="Arial" w:hAnsi="Arial" w:cs="Arial"/>
                <w:sz w:val="24"/>
                <w:szCs w:val="24"/>
              </w:rPr>
              <w:t xml:space="preserve">. </w:t>
            </w:r>
            <w:r w:rsidR="007F60B9" w:rsidRPr="0CF1AE7A">
              <w:rPr>
                <w:rFonts w:ascii="Arial" w:hAnsi="Arial" w:cs="Arial"/>
                <w:b/>
                <w:bCs/>
                <w:color w:val="000000" w:themeColor="text1"/>
                <w:sz w:val="24"/>
                <w:szCs w:val="24"/>
              </w:rPr>
              <w:t>0</w:t>
            </w:r>
            <w:r w:rsidR="002725B9" w:rsidRPr="0CF1AE7A">
              <w:rPr>
                <w:rFonts w:ascii="Arial" w:hAnsi="Arial" w:cs="Arial"/>
                <w:sz w:val="24"/>
                <w:szCs w:val="24"/>
                <w:lang w:eastAsia="en-GB"/>
              </w:rPr>
              <w:t xml:space="preserve"> </w:t>
            </w:r>
            <w:r w:rsidR="00DA3876" w:rsidRPr="0099143E">
              <w:rPr>
                <w:rFonts w:ascii="Arial" w:hAnsi="Arial" w:cs="Arial"/>
                <w:sz w:val="24"/>
                <w:szCs w:val="24"/>
              </w:rPr>
              <w:t>S</w:t>
            </w:r>
            <w:r w:rsidR="0052609D" w:rsidRPr="0099143E">
              <w:rPr>
                <w:rFonts w:ascii="Arial" w:hAnsi="Arial" w:cs="Arial"/>
                <w:sz w:val="24"/>
                <w:szCs w:val="24"/>
              </w:rPr>
              <w:t>tructured Judgement Reviews (</w:t>
            </w:r>
            <w:r w:rsidR="0099143E" w:rsidRPr="0099143E">
              <w:rPr>
                <w:rFonts w:ascii="Arial" w:hAnsi="Arial" w:cs="Arial"/>
                <w:sz w:val="24"/>
                <w:szCs w:val="24"/>
              </w:rPr>
              <w:t>S</w:t>
            </w:r>
            <w:r w:rsidR="00DA3876" w:rsidRPr="0099143E">
              <w:rPr>
                <w:rFonts w:ascii="Arial" w:hAnsi="Arial" w:cs="Arial"/>
                <w:sz w:val="24"/>
                <w:szCs w:val="24"/>
              </w:rPr>
              <w:t>J</w:t>
            </w:r>
            <w:r w:rsidR="002677F0" w:rsidRPr="0CF1AE7A">
              <w:rPr>
                <w:rFonts w:ascii="Arial" w:hAnsi="Arial" w:cs="Arial"/>
                <w:sz w:val="24"/>
                <w:szCs w:val="24"/>
              </w:rPr>
              <w:t>R</w:t>
            </w:r>
            <w:r w:rsidR="007145FA" w:rsidRPr="0CF1AE7A">
              <w:rPr>
                <w:rFonts w:ascii="Arial" w:hAnsi="Arial" w:cs="Arial"/>
                <w:sz w:val="24"/>
                <w:szCs w:val="24"/>
              </w:rPr>
              <w:t>s</w:t>
            </w:r>
            <w:r w:rsidR="0099143E">
              <w:rPr>
                <w:rFonts w:ascii="Arial" w:hAnsi="Arial" w:cs="Arial"/>
                <w:sz w:val="24"/>
                <w:szCs w:val="24"/>
              </w:rPr>
              <w:t>)</w:t>
            </w:r>
            <w:r w:rsidR="00ED3558" w:rsidRPr="0CF1AE7A">
              <w:rPr>
                <w:rFonts w:ascii="Arial" w:hAnsi="Arial" w:cs="Arial"/>
                <w:sz w:val="24"/>
                <w:szCs w:val="24"/>
              </w:rPr>
              <w:t xml:space="preserve"> </w:t>
            </w:r>
            <w:r w:rsidR="00DA3876" w:rsidRPr="0CF1AE7A">
              <w:rPr>
                <w:rFonts w:ascii="Arial" w:hAnsi="Arial" w:cs="Arial"/>
                <w:sz w:val="24"/>
                <w:szCs w:val="24"/>
              </w:rPr>
              <w:t>commissioned by the Patient Safety Executive Panel (PSEP)</w:t>
            </w:r>
            <w:r w:rsidR="00A83B8B" w:rsidRPr="0CF1AE7A">
              <w:rPr>
                <w:rFonts w:ascii="Arial" w:hAnsi="Arial" w:cs="Arial"/>
                <w:sz w:val="24"/>
                <w:szCs w:val="24"/>
              </w:rPr>
              <w:t xml:space="preserve"> ha</w:t>
            </w:r>
            <w:r w:rsidR="007145FA" w:rsidRPr="0CF1AE7A">
              <w:rPr>
                <w:rFonts w:ascii="Arial" w:hAnsi="Arial" w:cs="Arial"/>
                <w:sz w:val="24"/>
                <w:szCs w:val="24"/>
              </w:rPr>
              <w:t>ve</w:t>
            </w:r>
            <w:r w:rsidR="00A83B8B" w:rsidRPr="0CF1AE7A">
              <w:rPr>
                <w:rFonts w:ascii="Arial" w:hAnsi="Arial" w:cs="Arial"/>
                <w:sz w:val="24"/>
                <w:szCs w:val="24"/>
              </w:rPr>
              <w:t xml:space="preserve"> been completed</w:t>
            </w:r>
            <w:r w:rsidR="00DA3876" w:rsidRPr="0CF1AE7A">
              <w:rPr>
                <w:rFonts w:ascii="Arial" w:hAnsi="Arial" w:cs="Arial"/>
                <w:sz w:val="24"/>
                <w:szCs w:val="24"/>
              </w:rPr>
              <w:t xml:space="preserve">. </w:t>
            </w:r>
          </w:p>
          <w:p w14:paraId="197F39ED" w14:textId="77777777" w:rsidR="00E0620C" w:rsidRPr="00B523A1" w:rsidRDefault="00E0620C" w:rsidP="00E0620C">
            <w:pPr>
              <w:rPr>
                <w:rFonts w:ascii="Arial" w:hAnsi="Arial" w:cs="Arial"/>
                <w:color w:val="FF0000"/>
                <w:sz w:val="24"/>
                <w:szCs w:val="24"/>
              </w:rPr>
            </w:pPr>
          </w:p>
          <w:p w14:paraId="02B53BDF" w14:textId="0735D800" w:rsidR="0020760B" w:rsidRPr="0020760B" w:rsidRDefault="00E0620C" w:rsidP="00E0620C">
            <w:pPr>
              <w:rPr>
                <w:rFonts w:ascii="Arial" w:hAnsi="Arial" w:cs="Arial"/>
                <w:color w:val="FF0000"/>
                <w:sz w:val="24"/>
                <w:szCs w:val="24"/>
              </w:rPr>
            </w:pPr>
            <w:r w:rsidRPr="0CF1AE7A">
              <w:rPr>
                <w:rFonts w:ascii="Arial" w:hAnsi="Arial" w:cs="Arial"/>
                <w:sz w:val="24"/>
                <w:szCs w:val="24"/>
              </w:rPr>
              <w:t xml:space="preserve">Learning from excellence and learning for improvement </w:t>
            </w:r>
            <w:r w:rsidR="673C4D5F" w:rsidRPr="0CF1AE7A">
              <w:rPr>
                <w:rFonts w:ascii="Arial" w:hAnsi="Arial" w:cs="Arial"/>
                <w:sz w:val="24"/>
                <w:szCs w:val="24"/>
              </w:rPr>
              <w:t xml:space="preserve">were </w:t>
            </w:r>
            <w:r w:rsidRPr="0CF1AE7A">
              <w:rPr>
                <w:rFonts w:ascii="Arial" w:hAnsi="Arial" w:cs="Arial"/>
                <w:sz w:val="24"/>
                <w:szCs w:val="24"/>
              </w:rPr>
              <w:t>identified in all cases and continues to be shared with teams and across the organisation.</w:t>
            </w:r>
          </w:p>
        </w:tc>
      </w:tr>
      <w:tr w:rsidR="0018763F" w14:paraId="112CD89F" w14:textId="77777777" w:rsidTr="0CF1AE7A">
        <w:trPr>
          <w:trHeight w:val="935"/>
        </w:trPr>
        <w:tc>
          <w:tcPr>
            <w:tcW w:w="4513" w:type="dxa"/>
            <w:tcBorders>
              <w:top w:val="single" w:sz="4" w:space="0" w:color="0070C0"/>
              <w:bottom w:val="single" w:sz="18" w:space="0" w:color="0070C0"/>
              <w:right w:val="single" w:sz="4" w:space="0" w:color="0070C0"/>
            </w:tcBorders>
            <w:shd w:val="clear" w:color="auto" w:fill="B4C6E7" w:themeFill="accent1" w:themeFillTint="66"/>
          </w:tcPr>
          <w:p w14:paraId="46795736" w14:textId="39821CCE" w:rsidR="0018763F" w:rsidRDefault="0018763F" w:rsidP="00C62872">
            <w:pPr>
              <w:rPr>
                <w:rFonts w:ascii="Arial" w:hAnsi="Arial" w:cs="Arial"/>
                <w:sz w:val="24"/>
                <w:szCs w:val="24"/>
              </w:rPr>
            </w:pPr>
            <w:r>
              <w:rPr>
                <w:rFonts w:ascii="Arial" w:hAnsi="Arial" w:cs="Arial"/>
                <w:sz w:val="24"/>
                <w:szCs w:val="24"/>
              </w:rPr>
              <w:t>Do the recommendations in this paper have any impact upon the requirements of the protected groups identified by the Equality Act?</w:t>
            </w:r>
          </w:p>
        </w:tc>
        <w:tc>
          <w:tcPr>
            <w:tcW w:w="5363" w:type="dxa"/>
            <w:tcBorders>
              <w:top w:val="single" w:sz="4" w:space="0" w:color="0070C0"/>
              <w:left w:val="single" w:sz="4" w:space="0" w:color="0070C0"/>
              <w:bottom w:val="single" w:sz="18" w:space="0" w:color="0070C0"/>
            </w:tcBorders>
          </w:tcPr>
          <w:p w14:paraId="5BDF4D1B" w14:textId="3AE3BDA6" w:rsidR="0018763F" w:rsidRDefault="00143EDC" w:rsidP="00C62872">
            <w:pPr>
              <w:ind w:left="885" w:hanging="885"/>
              <w:rPr>
                <w:rFonts w:ascii="Arial" w:hAnsi="Arial" w:cs="Arial"/>
                <w:sz w:val="24"/>
                <w:szCs w:val="24"/>
              </w:rPr>
            </w:pPr>
            <w:sdt>
              <w:sdtPr>
                <w:rPr>
                  <w:rFonts w:ascii="Arial" w:hAnsi="Arial" w:cs="Arial"/>
                  <w:b/>
                  <w:bCs/>
                  <w:sz w:val="24"/>
                  <w:szCs w:val="24"/>
                </w:rPr>
                <w:id w:val="-283661423"/>
                <w14:checkbox>
                  <w14:checked w14:val="0"/>
                  <w14:checkedState w14:val="2612" w14:font="MS Gothic"/>
                  <w14:uncheckedState w14:val="2610" w14:font="MS Gothic"/>
                </w14:checkbox>
              </w:sdtPr>
              <w:sdtEndPr/>
              <w:sdtContent>
                <w:r w:rsidR="007978D8">
                  <w:rPr>
                    <w:rFonts w:ascii="MS Gothic" w:eastAsia="MS Gothic" w:hAnsi="MS Gothic" w:cs="Arial" w:hint="eastAsia"/>
                    <w:b/>
                    <w:bCs/>
                    <w:sz w:val="24"/>
                    <w:szCs w:val="24"/>
                  </w:rPr>
                  <w:t>☐</w:t>
                </w:r>
              </w:sdtContent>
            </w:sdt>
            <w:r w:rsidR="0018763F" w:rsidRPr="003755E5">
              <w:rPr>
                <w:rFonts w:ascii="Arial" w:hAnsi="Arial" w:cs="Arial"/>
                <w:color w:val="FF0000"/>
                <w:sz w:val="24"/>
                <w:szCs w:val="24"/>
              </w:rPr>
              <w:t xml:space="preserve">  </w:t>
            </w:r>
            <w:r w:rsidR="0018763F" w:rsidRPr="006B2A76">
              <w:rPr>
                <w:rFonts w:ascii="Arial" w:hAnsi="Arial" w:cs="Arial"/>
                <w:b/>
                <w:bCs/>
                <w:sz w:val="24"/>
                <w:szCs w:val="24"/>
              </w:rPr>
              <w:t>Yes</w:t>
            </w:r>
            <w:r w:rsidR="0018763F">
              <w:rPr>
                <w:rFonts w:ascii="Arial" w:hAnsi="Arial" w:cs="Arial"/>
                <w:sz w:val="24"/>
                <w:szCs w:val="24"/>
              </w:rPr>
              <w:t xml:space="preserve"> (please set out in your paper what action has been taken to address this)</w:t>
            </w:r>
          </w:p>
          <w:p w14:paraId="6B26C435" w14:textId="77777777" w:rsidR="0018763F" w:rsidRDefault="0018763F" w:rsidP="00C62872">
            <w:pPr>
              <w:rPr>
                <w:rFonts w:ascii="Arial" w:hAnsi="Arial" w:cs="Arial"/>
                <w:sz w:val="24"/>
                <w:szCs w:val="24"/>
              </w:rPr>
            </w:pPr>
          </w:p>
          <w:p w14:paraId="625926A8" w14:textId="738C43ED" w:rsidR="0018763F" w:rsidRDefault="00143EDC" w:rsidP="00C62872">
            <w:pPr>
              <w:rPr>
                <w:rFonts w:ascii="Arial" w:hAnsi="Arial" w:cs="Arial"/>
                <w:sz w:val="24"/>
                <w:szCs w:val="24"/>
              </w:rPr>
            </w:pPr>
            <w:sdt>
              <w:sdtPr>
                <w:rPr>
                  <w:rFonts w:ascii="Arial" w:hAnsi="Arial" w:cs="Arial"/>
                  <w:b/>
                  <w:bCs/>
                  <w:sz w:val="24"/>
                  <w:szCs w:val="24"/>
                </w:rPr>
                <w:id w:val="-1444230210"/>
                <w14:checkbox>
                  <w14:checked w14:val="1"/>
                  <w14:checkedState w14:val="2612" w14:font="MS Gothic"/>
                  <w14:uncheckedState w14:val="2610" w14:font="MS Gothic"/>
                </w14:checkbox>
              </w:sdtPr>
              <w:sdtEndPr/>
              <w:sdtContent>
                <w:r w:rsidR="00C43736">
                  <w:rPr>
                    <w:rFonts w:ascii="MS Gothic" w:eastAsia="MS Gothic" w:hAnsi="MS Gothic" w:cs="Arial" w:hint="eastAsia"/>
                    <w:b/>
                    <w:bCs/>
                    <w:sz w:val="24"/>
                    <w:szCs w:val="24"/>
                  </w:rPr>
                  <w:t>☒</w:t>
                </w:r>
              </w:sdtContent>
            </w:sdt>
            <w:r w:rsidR="0018763F" w:rsidRPr="004D318A">
              <w:rPr>
                <w:rFonts w:ascii="Arial" w:hAnsi="Arial" w:cs="Arial"/>
                <w:sz w:val="24"/>
                <w:szCs w:val="24"/>
              </w:rPr>
              <w:t xml:space="preserve">  </w:t>
            </w:r>
            <w:r w:rsidR="0018763F" w:rsidRPr="006B2A76">
              <w:rPr>
                <w:rFonts w:ascii="Arial" w:hAnsi="Arial" w:cs="Arial"/>
                <w:b/>
                <w:bCs/>
                <w:sz w:val="24"/>
                <w:szCs w:val="24"/>
              </w:rPr>
              <w:t>No</w:t>
            </w:r>
          </w:p>
        </w:tc>
      </w:tr>
    </w:tbl>
    <w:p w14:paraId="7BF2FA48" w14:textId="66C79145" w:rsidR="006417BE" w:rsidRDefault="006417BE" w:rsidP="00C62872">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tblBorders>
        <w:tblCellMar>
          <w:top w:w="85" w:type="dxa"/>
          <w:bottom w:w="85" w:type="dxa"/>
        </w:tblCellMar>
        <w:tblLook w:val="04A0" w:firstRow="1" w:lastRow="0" w:firstColumn="1" w:lastColumn="0" w:noHBand="0" w:noVBand="1"/>
      </w:tblPr>
      <w:tblGrid>
        <w:gridCol w:w="9876"/>
      </w:tblGrid>
      <w:tr w:rsidR="00B7500E" w14:paraId="39AF6D32" w14:textId="77777777" w:rsidTr="0CF1AE7A">
        <w:tc>
          <w:tcPr>
            <w:tcW w:w="9892" w:type="dxa"/>
            <w:shd w:val="clear" w:color="auto" w:fill="C7D4ED"/>
          </w:tcPr>
          <w:p w14:paraId="2BCB84B9" w14:textId="3DC8DE4E" w:rsidR="00B7500E" w:rsidRPr="0048323C" w:rsidRDefault="00B7500E" w:rsidP="00C62872">
            <w:pPr>
              <w:rPr>
                <w:rFonts w:ascii="Arial" w:hAnsi="Arial" w:cs="Arial"/>
                <w:b/>
                <w:bCs/>
                <w:sz w:val="24"/>
                <w:szCs w:val="24"/>
              </w:rPr>
            </w:pPr>
            <w:r w:rsidRPr="0048323C">
              <w:rPr>
                <w:rFonts w:ascii="Arial" w:hAnsi="Arial" w:cs="Arial"/>
                <w:b/>
                <w:bCs/>
                <w:sz w:val="24"/>
                <w:szCs w:val="24"/>
              </w:rPr>
              <w:t>Recommendation(s)</w:t>
            </w:r>
          </w:p>
        </w:tc>
      </w:tr>
      <w:tr w:rsidR="00B7500E" w14:paraId="1868BD05" w14:textId="77777777" w:rsidTr="0CF1AE7A">
        <w:tc>
          <w:tcPr>
            <w:tcW w:w="9892" w:type="dxa"/>
          </w:tcPr>
          <w:p w14:paraId="798AAFDF" w14:textId="4B58F85F" w:rsidR="00E0620C" w:rsidRPr="00E0620C" w:rsidRDefault="00E0620C" w:rsidP="00E0620C">
            <w:pPr>
              <w:rPr>
                <w:rFonts w:ascii="Arial" w:hAnsi="Arial" w:cs="Arial"/>
                <w:sz w:val="24"/>
                <w:szCs w:val="24"/>
              </w:rPr>
            </w:pPr>
            <w:r w:rsidRPr="0CF1AE7A">
              <w:rPr>
                <w:rFonts w:ascii="Arial" w:hAnsi="Arial" w:cs="Arial"/>
                <w:sz w:val="24"/>
                <w:szCs w:val="24"/>
              </w:rPr>
              <w:t xml:space="preserve">The </w:t>
            </w:r>
            <w:r w:rsidR="00717323" w:rsidRPr="0CF1AE7A">
              <w:rPr>
                <w:rFonts w:ascii="Arial" w:hAnsi="Arial" w:cs="Arial"/>
                <w:sz w:val="24"/>
                <w:szCs w:val="24"/>
              </w:rPr>
              <w:t xml:space="preserve">SLT - Quality, Safety and Governance group </w:t>
            </w:r>
            <w:r w:rsidRPr="0CF1AE7A">
              <w:rPr>
                <w:rFonts w:ascii="Arial" w:hAnsi="Arial" w:cs="Arial"/>
                <w:sz w:val="24"/>
                <w:szCs w:val="24"/>
              </w:rPr>
              <w:t>is asked to:</w:t>
            </w:r>
          </w:p>
          <w:p w14:paraId="5889F1A0" w14:textId="77777777" w:rsidR="00E0620C" w:rsidRPr="00E0620C" w:rsidRDefault="00E0620C" w:rsidP="00E0620C">
            <w:pPr>
              <w:rPr>
                <w:rFonts w:ascii="Arial" w:hAnsi="Arial" w:cs="Arial"/>
                <w:sz w:val="24"/>
                <w:szCs w:val="24"/>
              </w:rPr>
            </w:pPr>
            <w:r w:rsidRPr="00E0620C">
              <w:rPr>
                <w:rFonts w:ascii="Arial" w:hAnsi="Arial" w:cs="Arial"/>
                <w:sz w:val="24"/>
                <w:szCs w:val="24"/>
              </w:rPr>
              <w:t xml:space="preserve"> </w:t>
            </w:r>
          </w:p>
          <w:p w14:paraId="19FCF5A7" w14:textId="56004624" w:rsidR="0048323C" w:rsidRPr="00E0620C" w:rsidRDefault="00E0620C" w:rsidP="00655440">
            <w:pPr>
              <w:pStyle w:val="ListParagraph"/>
              <w:numPr>
                <w:ilvl w:val="0"/>
                <w:numId w:val="2"/>
              </w:numPr>
              <w:rPr>
                <w:rFonts w:ascii="Arial" w:hAnsi="Arial" w:cs="Arial"/>
                <w:sz w:val="24"/>
                <w:szCs w:val="24"/>
              </w:rPr>
            </w:pPr>
            <w:r w:rsidRPr="00E0620C">
              <w:rPr>
                <w:rFonts w:ascii="Arial" w:hAnsi="Arial" w:cs="Arial"/>
                <w:sz w:val="24"/>
                <w:szCs w:val="24"/>
              </w:rPr>
              <w:t>Note the content of the report and take assurance that our processes for reviewing and learning from deaths is robust and appropriate</w:t>
            </w:r>
          </w:p>
        </w:tc>
      </w:tr>
    </w:tbl>
    <w:p w14:paraId="0F7F0EBE" w14:textId="6DF49448" w:rsidR="0018763F" w:rsidRDefault="0018763F">
      <w:pPr>
        <w:spacing w:after="0"/>
        <w:rPr>
          <w:rFonts w:ascii="Arial" w:hAnsi="Arial" w:cs="Arial"/>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4" w:space="0" w:color="0070C0"/>
          <w:insideV w:val="single" w:sz="4" w:space="0" w:color="0070C0"/>
        </w:tblBorders>
        <w:tblCellMar>
          <w:top w:w="85" w:type="dxa"/>
          <w:bottom w:w="85" w:type="dxa"/>
        </w:tblCellMar>
        <w:tblLook w:val="04A0" w:firstRow="1" w:lastRow="0" w:firstColumn="1" w:lastColumn="0" w:noHBand="0" w:noVBand="1"/>
      </w:tblPr>
      <w:tblGrid>
        <w:gridCol w:w="3521"/>
        <w:gridCol w:w="3177"/>
        <w:gridCol w:w="3178"/>
      </w:tblGrid>
      <w:tr w:rsidR="005E1305" w14:paraId="6353ED89" w14:textId="77777777" w:rsidTr="0CF1AE7A">
        <w:tc>
          <w:tcPr>
            <w:tcW w:w="3521" w:type="dxa"/>
            <w:shd w:val="clear" w:color="auto" w:fill="C7D4ED"/>
          </w:tcPr>
          <w:p w14:paraId="3C4FC929"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Links to the Strategic Organisational Risk register (SORR)</w:t>
            </w:r>
          </w:p>
        </w:tc>
        <w:tc>
          <w:tcPr>
            <w:tcW w:w="6355" w:type="dxa"/>
            <w:gridSpan w:val="2"/>
            <w:tcBorders>
              <w:bottom w:val="single" w:sz="4" w:space="0" w:color="0070C0"/>
            </w:tcBorders>
          </w:tcPr>
          <w:p w14:paraId="5BE5036F" w14:textId="77777777" w:rsidR="005E1305" w:rsidRDefault="005E1305" w:rsidP="00306342">
            <w:pPr>
              <w:rPr>
                <w:rFonts w:ascii="Arial" w:hAnsi="Arial" w:cs="Arial"/>
                <w:sz w:val="24"/>
                <w:szCs w:val="24"/>
              </w:rPr>
            </w:pPr>
            <w:r>
              <w:rPr>
                <w:rFonts w:ascii="Arial" w:hAnsi="Arial" w:cs="Arial"/>
                <w:sz w:val="24"/>
                <w:szCs w:val="24"/>
              </w:rPr>
              <w:t>The work contained with this report links to the following corporate risks as identified in the SORR:</w:t>
            </w:r>
          </w:p>
          <w:p w14:paraId="4C909FEC" w14:textId="53F44F6F" w:rsidR="005E1305" w:rsidRPr="004F1686" w:rsidRDefault="004F1686" w:rsidP="00655440">
            <w:pPr>
              <w:pStyle w:val="ListParagraph"/>
              <w:numPr>
                <w:ilvl w:val="0"/>
                <w:numId w:val="1"/>
              </w:numPr>
              <w:rPr>
                <w:rFonts w:ascii="Arial" w:hAnsi="Arial" w:cs="Arial"/>
                <w:sz w:val="24"/>
                <w:szCs w:val="24"/>
              </w:rPr>
            </w:pPr>
            <w:r w:rsidRPr="00D7440A">
              <w:rPr>
                <w:rFonts w:ascii="Arial" w:hAnsi="Arial" w:cs="Arial"/>
                <w:sz w:val="24"/>
                <w:szCs w:val="24"/>
              </w:rPr>
              <w:t>n/a</w:t>
            </w:r>
          </w:p>
        </w:tc>
      </w:tr>
      <w:tr w:rsidR="005E1305" w14:paraId="1C4111ED" w14:textId="77777777" w:rsidTr="0CF1AE7A">
        <w:tc>
          <w:tcPr>
            <w:tcW w:w="3521" w:type="dxa"/>
            <w:shd w:val="clear" w:color="auto" w:fill="C7D4ED"/>
          </w:tcPr>
          <w:p w14:paraId="25CC8194" w14:textId="77777777" w:rsidR="005E1305" w:rsidRPr="00F46B44" w:rsidRDefault="005E1305" w:rsidP="00306342">
            <w:pPr>
              <w:rPr>
                <w:rFonts w:ascii="Arial" w:hAnsi="Arial" w:cs="Arial"/>
                <w:b/>
                <w:bCs/>
                <w:sz w:val="24"/>
                <w:szCs w:val="24"/>
              </w:rPr>
            </w:pPr>
            <w:r w:rsidRPr="00F46B44">
              <w:rPr>
                <w:rFonts w:ascii="Arial" w:hAnsi="Arial" w:cs="Arial"/>
                <w:b/>
                <w:bCs/>
                <w:sz w:val="24"/>
                <w:szCs w:val="24"/>
              </w:rPr>
              <w:t>Care Quality Commission domains</w:t>
            </w:r>
          </w:p>
          <w:p w14:paraId="3193D851" w14:textId="77777777" w:rsidR="005E1305" w:rsidRPr="003E2880" w:rsidRDefault="005E1305" w:rsidP="00306342">
            <w:pPr>
              <w:rPr>
                <w:rFonts w:ascii="Arial" w:hAnsi="Arial" w:cs="Arial"/>
                <w:b/>
                <w:bCs/>
                <w:sz w:val="24"/>
                <w:szCs w:val="24"/>
              </w:rPr>
            </w:pPr>
            <w:r w:rsidRPr="00F46B44">
              <w:rPr>
                <w:rFonts w:ascii="Arial" w:hAnsi="Arial" w:cs="Arial"/>
                <w:sz w:val="24"/>
                <w:szCs w:val="24"/>
              </w:rPr>
              <w:t xml:space="preserve">Please check </w:t>
            </w:r>
            <w:r w:rsidRPr="00F46B44">
              <w:rPr>
                <w:rFonts w:ascii="Arial" w:hAnsi="Arial" w:cs="Arial"/>
                <w:b/>
                <w:bCs/>
                <w:sz w:val="24"/>
                <w:szCs w:val="24"/>
                <w:u w:val="single"/>
              </w:rPr>
              <w:t>ALL</w:t>
            </w:r>
            <w:r w:rsidRPr="00F46B44">
              <w:rPr>
                <w:rFonts w:ascii="Arial" w:hAnsi="Arial" w:cs="Arial"/>
                <w:sz w:val="24"/>
                <w:szCs w:val="24"/>
              </w:rPr>
              <w:t xml:space="preserve"> that apply</w:t>
            </w:r>
          </w:p>
        </w:tc>
        <w:tc>
          <w:tcPr>
            <w:tcW w:w="3177" w:type="dxa"/>
            <w:tcBorders>
              <w:top w:val="single" w:sz="4" w:space="0" w:color="0070C0"/>
              <w:bottom w:val="single" w:sz="4" w:space="0" w:color="0070C0"/>
              <w:right w:val="nil"/>
            </w:tcBorders>
          </w:tcPr>
          <w:p w14:paraId="0FDE7531" w14:textId="7B8FAF96" w:rsidR="005E1305" w:rsidRPr="00F46B44" w:rsidRDefault="00143EDC" w:rsidP="00306342">
            <w:pPr>
              <w:rPr>
                <w:rFonts w:ascii="Arial" w:hAnsi="Arial" w:cs="Arial"/>
                <w:sz w:val="24"/>
                <w:szCs w:val="24"/>
              </w:rPr>
            </w:pPr>
            <w:sdt>
              <w:sdtPr>
                <w:rPr>
                  <w:rFonts w:ascii="Arial" w:hAnsi="Arial" w:cs="Arial"/>
                  <w:b/>
                  <w:bCs/>
                  <w:sz w:val="24"/>
                  <w:szCs w:val="24"/>
                </w:rPr>
                <w:id w:val="1545175147"/>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Safe</w:t>
            </w:r>
          </w:p>
          <w:p w14:paraId="6442A381" w14:textId="77777777" w:rsidR="005E1305" w:rsidRPr="00F46B44" w:rsidRDefault="00143EDC" w:rsidP="00306342">
            <w:pPr>
              <w:rPr>
                <w:rFonts w:ascii="Arial" w:hAnsi="Arial" w:cs="Arial"/>
                <w:sz w:val="24"/>
                <w:szCs w:val="24"/>
              </w:rPr>
            </w:pPr>
            <w:sdt>
              <w:sdtPr>
                <w:rPr>
                  <w:rFonts w:ascii="Arial" w:hAnsi="Arial" w:cs="Arial"/>
                  <w:b/>
                  <w:bCs/>
                  <w:sz w:val="24"/>
                  <w:szCs w:val="24"/>
                </w:rPr>
                <w:id w:val="-641736042"/>
                <w14:checkbox>
                  <w14:checked w14:val="0"/>
                  <w14:checkedState w14:val="2612" w14:font="MS Gothic"/>
                  <w14:uncheckedState w14:val="2610" w14:font="MS Gothic"/>
                </w14:checkbox>
              </w:sdtPr>
              <w:sdtEndPr/>
              <w:sdtContent>
                <w:r w:rsidR="005E1305" w:rsidRPr="00F46B44">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Effective</w:t>
            </w:r>
          </w:p>
          <w:p w14:paraId="6B87695F" w14:textId="62E56619" w:rsidR="005E1305" w:rsidRPr="00661A12" w:rsidRDefault="00143EDC" w:rsidP="00306342">
            <w:pPr>
              <w:rPr>
                <w:rFonts w:ascii="Arial" w:hAnsi="Arial" w:cs="Arial"/>
                <w:sz w:val="24"/>
                <w:szCs w:val="24"/>
              </w:rPr>
            </w:pPr>
            <w:sdt>
              <w:sdtPr>
                <w:rPr>
                  <w:rFonts w:ascii="Arial" w:hAnsi="Arial" w:cs="Arial"/>
                  <w:b/>
                  <w:bCs/>
                  <w:sz w:val="24"/>
                  <w:szCs w:val="24"/>
                </w:rPr>
                <w:id w:val="56373144"/>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hAnsi="Arial" w:cs="Arial"/>
                <w:sz w:val="24"/>
                <w:szCs w:val="24"/>
              </w:rPr>
              <w:t xml:space="preserve">  Responsive</w:t>
            </w:r>
          </w:p>
        </w:tc>
        <w:tc>
          <w:tcPr>
            <w:tcW w:w="3178" w:type="dxa"/>
            <w:tcBorders>
              <w:top w:val="single" w:sz="4" w:space="0" w:color="0070C0"/>
              <w:left w:val="nil"/>
              <w:bottom w:val="single" w:sz="4" w:space="0" w:color="0070C0"/>
            </w:tcBorders>
          </w:tcPr>
          <w:p w14:paraId="44E255BA" w14:textId="74A1811A" w:rsidR="005E1305" w:rsidRPr="00F46B44" w:rsidRDefault="00143EDC" w:rsidP="00306342">
            <w:pPr>
              <w:rPr>
                <w:rFonts w:ascii="MS Gothic" w:eastAsia="MS Gothic" w:hAnsi="MS Gothic" w:cs="Arial"/>
                <w:sz w:val="24"/>
                <w:szCs w:val="24"/>
              </w:rPr>
            </w:pPr>
            <w:sdt>
              <w:sdtPr>
                <w:rPr>
                  <w:rFonts w:ascii="MS Gothic" w:eastAsia="MS Gothic" w:hAnsi="MS Gothic" w:cs="Arial"/>
                  <w:b/>
                  <w:bCs/>
                  <w:sz w:val="24"/>
                  <w:szCs w:val="24"/>
                </w:rPr>
                <w:id w:val="875129876"/>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Caring</w:t>
            </w:r>
          </w:p>
          <w:p w14:paraId="39FF8FEC" w14:textId="0603FCF3" w:rsidR="005E1305" w:rsidRPr="00661A12" w:rsidRDefault="00143EDC" w:rsidP="00306342">
            <w:pPr>
              <w:rPr>
                <w:rFonts w:ascii="Arial" w:hAnsi="Arial" w:cs="Arial"/>
                <w:sz w:val="24"/>
                <w:szCs w:val="24"/>
              </w:rPr>
            </w:pPr>
            <w:sdt>
              <w:sdtPr>
                <w:rPr>
                  <w:rFonts w:ascii="MS Gothic" w:eastAsia="MS Gothic" w:hAnsi="MS Gothic" w:cs="Arial"/>
                  <w:b/>
                  <w:bCs/>
                  <w:sz w:val="24"/>
                  <w:szCs w:val="24"/>
                </w:rPr>
                <w:id w:val="-1993932530"/>
                <w14:checkbox>
                  <w14:checked w14:val="1"/>
                  <w14:checkedState w14:val="2612" w14:font="MS Gothic"/>
                  <w14:uncheckedState w14:val="2610" w14:font="MS Gothic"/>
                </w14:checkbox>
              </w:sdtPr>
              <w:sdtEndPr/>
              <w:sdtContent>
                <w:r w:rsidR="005E1305">
                  <w:rPr>
                    <w:rFonts w:ascii="MS Gothic" w:eastAsia="MS Gothic" w:hAnsi="MS Gothic" w:cs="Arial" w:hint="eastAsia"/>
                    <w:b/>
                    <w:bCs/>
                    <w:sz w:val="24"/>
                    <w:szCs w:val="24"/>
                  </w:rPr>
                  <w:t>☒</w:t>
                </w:r>
              </w:sdtContent>
            </w:sdt>
            <w:r w:rsidR="005E1305" w:rsidRPr="00F46B44">
              <w:rPr>
                <w:rFonts w:ascii="Arial" w:eastAsia="MS Gothic" w:hAnsi="Arial" w:cs="Arial"/>
                <w:sz w:val="24"/>
                <w:szCs w:val="24"/>
              </w:rPr>
              <w:t xml:space="preserve">  Well-Led</w:t>
            </w:r>
          </w:p>
        </w:tc>
      </w:tr>
      <w:tr w:rsidR="005E1305" w14:paraId="187256E1" w14:textId="77777777" w:rsidTr="0CF1AE7A">
        <w:tc>
          <w:tcPr>
            <w:tcW w:w="3521" w:type="dxa"/>
            <w:shd w:val="clear" w:color="auto" w:fill="C7D4ED"/>
          </w:tcPr>
          <w:p w14:paraId="075965A0" w14:textId="77777777" w:rsidR="005E1305" w:rsidRPr="003E2880" w:rsidRDefault="005E1305" w:rsidP="00306342">
            <w:pPr>
              <w:rPr>
                <w:rFonts w:ascii="Arial" w:hAnsi="Arial" w:cs="Arial"/>
                <w:b/>
                <w:bCs/>
                <w:sz w:val="24"/>
                <w:szCs w:val="24"/>
              </w:rPr>
            </w:pPr>
            <w:r w:rsidRPr="003E2880">
              <w:rPr>
                <w:rFonts w:ascii="Arial" w:hAnsi="Arial" w:cs="Arial"/>
                <w:b/>
                <w:bCs/>
                <w:sz w:val="24"/>
                <w:szCs w:val="24"/>
              </w:rPr>
              <w:t>Compliance &amp; regulatory implications</w:t>
            </w:r>
          </w:p>
        </w:tc>
        <w:tc>
          <w:tcPr>
            <w:tcW w:w="6355" w:type="dxa"/>
            <w:gridSpan w:val="2"/>
            <w:tcBorders>
              <w:top w:val="single" w:sz="4" w:space="0" w:color="0070C0"/>
            </w:tcBorders>
          </w:tcPr>
          <w:p w14:paraId="0B9C6B44" w14:textId="0D4BC9DC" w:rsidR="005E1305" w:rsidRDefault="4BD85456" w:rsidP="00306342">
            <w:pPr>
              <w:rPr>
                <w:rFonts w:ascii="Arial" w:hAnsi="Arial" w:cs="Arial"/>
                <w:sz w:val="24"/>
                <w:szCs w:val="24"/>
              </w:rPr>
            </w:pPr>
            <w:r w:rsidRPr="0CF1AE7A">
              <w:rPr>
                <w:rFonts w:ascii="Arial" w:hAnsi="Arial" w:cs="Arial"/>
                <w:sz w:val="24"/>
                <w:szCs w:val="24"/>
              </w:rPr>
              <w:t>The following compliance and regulatory implications have been identified</w:t>
            </w:r>
            <w:r w:rsidR="133D766A" w:rsidRPr="0CF1AE7A">
              <w:rPr>
                <w:rFonts w:ascii="Arial" w:hAnsi="Arial" w:cs="Arial"/>
                <w:sz w:val="24"/>
                <w:szCs w:val="24"/>
              </w:rPr>
              <w:t>:</w:t>
            </w:r>
          </w:p>
          <w:p w14:paraId="0ACBD5C4" w14:textId="63F73BE0" w:rsidR="005E1305" w:rsidRPr="00B21BAA" w:rsidRDefault="005E1305" w:rsidP="00655440">
            <w:pPr>
              <w:pStyle w:val="ListParagraph"/>
              <w:numPr>
                <w:ilvl w:val="0"/>
                <w:numId w:val="1"/>
              </w:numPr>
              <w:rPr>
                <w:rFonts w:ascii="Arial" w:hAnsi="Arial" w:cs="Arial"/>
                <w:sz w:val="24"/>
                <w:szCs w:val="24"/>
              </w:rPr>
            </w:pPr>
            <w:r>
              <w:rPr>
                <w:rFonts w:ascii="Arial" w:hAnsi="Arial" w:cs="Arial"/>
                <w:sz w:val="24"/>
                <w:szCs w:val="24"/>
              </w:rPr>
              <w:t>n/a</w:t>
            </w:r>
          </w:p>
          <w:p w14:paraId="48D46D4F" w14:textId="77777777" w:rsidR="005E1305" w:rsidRDefault="005E1305" w:rsidP="00306342">
            <w:pPr>
              <w:rPr>
                <w:rFonts w:ascii="Arial" w:hAnsi="Arial" w:cs="Arial"/>
                <w:sz w:val="24"/>
                <w:szCs w:val="24"/>
              </w:rPr>
            </w:pPr>
          </w:p>
        </w:tc>
      </w:tr>
    </w:tbl>
    <w:p w14:paraId="1B54A653" w14:textId="775DBCB5" w:rsidR="00DB2279" w:rsidRDefault="00DB2279" w:rsidP="00DB2279">
      <w:pPr>
        <w:jc w:val="center"/>
        <w:rPr>
          <w:rFonts w:ascii="Arial" w:hAnsi="Arial" w:cs="Arial"/>
          <w:sz w:val="24"/>
          <w:szCs w:val="24"/>
        </w:rPr>
      </w:pPr>
    </w:p>
    <w:p w14:paraId="61A98AA1" w14:textId="77777777" w:rsidR="00AC4F2C" w:rsidRDefault="005D277D" w:rsidP="00DB2279">
      <w:pPr>
        <w:jc w:val="center"/>
        <w:rPr>
          <w:rFonts w:ascii="Arial" w:hAnsi="Arial" w:cs="Arial"/>
          <w:b/>
          <w:bCs/>
          <w:sz w:val="32"/>
          <w:szCs w:val="32"/>
        </w:rPr>
      </w:pPr>
      <w:r>
        <w:rPr>
          <w:rFonts w:ascii="Arial" w:hAnsi="Arial" w:cs="Arial"/>
          <w:b/>
          <w:bCs/>
          <w:sz w:val="32"/>
          <w:szCs w:val="32"/>
        </w:rPr>
        <w:lastRenderedPageBreak/>
        <w:t xml:space="preserve"> </w:t>
      </w:r>
    </w:p>
    <w:p w14:paraId="79D93C33" w14:textId="1904A137" w:rsidR="005D277D" w:rsidRDefault="00DB2279" w:rsidP="00DB2279">
      <w:pPr>
        <w:jc w:val="center"/>
        <w:rPr>
          <w:rFonts w:ascii="Arial" w:hAnsi="Arial" w:cs="Arial"/>
          <w:b/>
          <w:bCs/>
          <w:sz w:val="32"/>
          <w:szCs w:val="32"/>
        </w:rPr>
      </w:pPr>
      <w:r>
        <w:rPr>
          <w:rFonts w:ascii="Arial" w:hAnsi="Arial" w:cs="Arial"/>
          <w:b/>
          <w:bCs/>
          <w:sz w:val="32"/>
          <w:szCs w:val="32"/>
        </w:rPr>
        <w:t xml:space="preserve">SLT - Quality, Safety and </w:t>
      </w:r>
      <w:r w:rsidR="005D277D">
        <w:rPr>
          <w:rFonts w:ascii="Arial" w:hAnsi="Arial" w:cs="Arial"/>
          <w:b/>
          <w:bCs/>
          <w:sz w:val="32"/>
          <w:szCs w:val="32"/>
        </w:rPr>
        <w:t>Governance</w:t>
      </w:r>
    </w:p>
    <w:p w14:paraId="1942F2E1" w14:textId="6B623FDB" w:rsidR="00926E45" w:rsidRPr="008641A5" w:rsidRDefault="008641A5" w:rsidP="00926E45">
      <w:pPr>
        <w:spacing w:after="0"/>
        <w:jc w:val="center"/>
        <w:rPr>
          <w:rFonts w:ascii="Arial" w:hAnsi="Arial" w:cs="Arial"/>
          <w:b/>
          <w:bCs/>
          <w:color w:val="000000" w:themeColor="text1"/>
          <w:sz w:val="32"/>
          <w:szCs w:val="32"/>
        </w:rPr>
      </w:pPr>
      <w:r w:rsidRPr="008641A5">
        <w:rPr>
          <w:rFonts w:ascii="Arial" w:hAnsi="Arial" w:cs="Arial"/>
          <w:b/>
          <w:bCs/>
          <w:color w:val="000000" w:themeColor="text1"/>
          <w:sz w:val="32"/>
          <w:szCs w:val="32"/>
        </w:rPr>
        <w:t>21</w:t>
      </w:r>
      <w:r w:rsidR="008709BA" w:rsidRPr="008641A5">
        <w:rPr>
          <w:rFonts w:ascii="Arial" w:hAnsi="Arial" w:cs="Arial"/>
          <w:b/>
          <w:bCs/>
          <w:color w:val="000000" w:themeColor="text1"/>
          <w:sz w:val="32"/>
          <w:szCs w:val="32"/>
        </w:rPr>
        <w:t xml:space="preserve"> </w:t>
      </w:r>
      <w:r w:rsidR="0027197D" w:rsidRPr="008641A5">
        <w:rPr>
          <w:rFonts w:ascii="Arial" w:hAnsi="Arial" w:cs="Arial"/>
          <w:b/>
          <w:bCs/>
          <w:color w:val="000000" w:themeColor="text1"/>
          <w:sz w:val="32"/>
          <w:szCs w:val="32"/>
        </w:rPr>
        <w:t xml:space="preserve">January </w:t>
      </w:r>
      <w:r w:rsidR="00926E45" w:rsidRPr="008641A5">
        <w:rPr>
          <w:rFonts w:ascii="Arial" w:hAnsi="Arial" w:cs="Arial"/>
          <w:b/>
          <w:bCs/>
          <w:color w:val="000000" w:themeColor="text1"/>
          <w:sz w:val="32"/>
          <w:szCs w:val="32"/>
        </w:rPr>
        <w:t>202</w:t>
      </w:r>
      <w:r w:rsidR="0027197D" w:rsidRPr="008641A5">
        <w:rPr>
          <w:rFonts w:ascii="Arial" w:hAnsi="Arial" w:cs="Arial"/>
          <w:b/>
          <w:bCs/>
          <w:color w:val="000000" w:themeColor="text1"/>
          <w:sz w:val="32"/>
          <w:szCs w:val="32"/>
        </w:rPr>
        <w:t>6</w:t>
      </w:r>
    </w:p>
    <w:p w14:paraId="5AD52422" w14:textId="77777777" w:rsidR="004D318A" w:rsidRPr="005242BD" w:rsidRDefault="004D318A" w:rsidP="004D318A">
      <w:pPr>
        <w:spacing w:after="0" w:line="240" w:lineRule="auto"/>
        <w:jc w:val="center"/>
        <w:rPr>
          <w:rFonts w:ascii="Arial" w:eastAsia="Times New Roman" w:hAnsi="Arial" w:cs="Times New Roman"/>
          <w:sz w:val="32"/>
          <w:szCs w:val="32"/>
          <w:lang w:eastAsia="en-GB"/>
        </w:rPr>
      </w:pPr>
    </w:p>
    <w:p w14:paraId="24B728DC" w14:textId="32F206C3" w:rsidR="004D318A" w:rsidRPr="00F81E74" w:rsidRDefault="00E0620C" w:rsidP="00E0620C">
      <w:pPr>
        <w:spacing w:after="0" w:line="240" w:lineRule="auto"/>
        <w:jc w:val="center"/>
        <w:rPr>
          <w:rFonts w:ascii="Arial" w:eastAsia="Times New Roman" w:hAnsi="Arial" w:cs="Times New Roman"/>
          <w:sz w:val="24"/>
          <w:szCs w:val="24"/>
          <w:lang w:eastAsia="en-GB"/>
        </w:rPr>
      </w:pPr>
      <w:r w:rsidRPr="00F81E74">
        <w:rPr>
          <w:rFonts w:ascii="Arial" w:eastAsia="Times New Roman" w:hAnsi="Arial" w:cs="Times New Roman"/>
          <w:b/>
          <w:sz w:val="32"/>
          <w:szCs w:val="32"/>
          <w:lang w:eastAsia="en-GB"/>
        </w:rPr>
        <w:t xml:space="preserve">Learning from Deaths </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5</w:t>
      </w:r>
      <w:r w:rsidRPr="00F81E74">
        <w:rPr>
          <w:rFonts w:ascii="Arial" w:eastAsia="Times New Roman" w:hAnsi="Arial" w:cs="Times New Roman"/>
          <w:b/>
          <w:sz w:val="32"/>
          <w:szCs w:val="32"/>
          <w:lang w:eastAsia="en-GB"/>
        </w:rPr>
        <w:t>/</w:t>
      </w:r>
      <w:r w:rsidR="00717323" w:rsidRPr="00F81E74">
        <w:rPr>
          <w:rFonts w:ascii="Arial" w:eastAsia="Times New Roman" w:hAnsi="Arial" w:cs="Times New Roman"/>
          <w:b/>
          <w:sz w:val="32"/>
          <w:szCs w:val="32"/>
          <w:lang w:eastAsia="en-GB"/>
        </w:rPr>
        <w:t>202</w:t>
      </w:r>
      <w:r w:rsidR="005E4CF0">
        <w:rPr>
          <w:rFonts w:ascii="Arial" w:eastAsia="Times New Roman" w:hAnsi="Arial" w:cs="Times New Roman"/>
          <w:b/>
          <w:sz w:val="32"/>
          <w:szCs w:val="32"/>
          <w:lang w:eastAsia="en-GB"/>
        </w:rPr>
        <w:t>6</w:t>
      </w:r>
      <w:r w:rsidR="00717323" w:rsidRPr="00F81E74">
        <w:rPr>
          <w:rFonts w:ascii="Arial" w:eastAsia="Times New Roman" w:hAnsi="Arial" w:cs="Times New Roman"/>
          <w:b/>
          <w:sz w:val="32"/>
          <w:szCs w:val="32"/>
          <w:lang w:eastAsia="en-GB"/>
        </w:rPr>
        <w:t xml:space="preserve"> Q</w:t>
      </w:r>
      <w:r w:rsidR="0027197D">
        <w:rPr>
          <w:rFonts w:ascii="Arial" w:eastAsia="Times New Roman" w:hAnsi="Arial" w:cs="Times New Roman"/>
          <w:b/>
          <w:sz w:val="32"/>
          <w:szCs w:val="32"/>
          <w:lang w:eastAsia="en-GB"/>
        </w:rPr>
        <w:t>3</w:t>
      </w:r>
    </w:p>
    <w:p w14:paraId="4D730486" w14:textId="77777777" w:rsidR="004D318A" w:rsidRPr="00453BE9" w:rsidRDefault="004D318A" w:rsidP="004D318A">
      <w:pPr>
        <w:spacing w:after="0" w:line="240" w:lineRule="auto"/>
        <w:jc w:val="both"/>
        <w:rPr>
          <w:rFonts w:ascii="Arial" w:eastAsia="Times New Roman" w:hAnsi="Arial" w:cs="Times New Roman"/>
          <w:b/>
          <w:bCs/>
          <w:color w:val="262626"/>
          <w:sz w:val="24"/>
          <w:szCs w:val="24"/>
          <w:lang w:eastAsia="en-GB"/>
        </w:rPr>
      </w:pPr>
    </w:p>
    <w:p w14:paraId="3F82304D" w14:textId="087B25E8" w:rsidR="005242BD" w:rsidRPr="0033335A" w:rsidRDefault="00E0620C" w:rsidP="0033335A">
      <w:pPr>
        <w:rPr>
          <w:rFonts w:ascii="Arial" w:hAnsi="Arial" w:cs="Arial"/>
          <w:b/>
          <w:sz w:val="24"/>
          <w:szCs w:val="24"/>
        </w:rPr>
      </w:pPr>
      <w:r w:rsidRPr="0033335A">
        <w:rPr>
          <w:rFonts w:ascii="Arial" w:hAnsi="Arial" w:cs="Arial"/>
          <w:b/>
          <w:sz w:val="24"/>
          <w:szCs w:val="24"/>
        </w:rPr>
        <w:t>Introduction and background</w:t>
      </w:r>
    </w:p>
    <w:p w14:paraId="5D3C1A67" w14:textId="5EFCBFC1" w:rsidR="005242BD" w:rsidRPr="00C757AF" w:rsidRDefault="00E0620C" w:rsidP="0033335A">
      <w:pPr>
        <w:rPr>
          <w:rFonts w:ascii="Arial" w:hAnsi="Arial" w:cs="Arial"/>
          <w:sz w:val="24"/>
          <w:szCs w:val="24"/>
        </w:rPr>
      </w:pPr>
      <w:r w:rsidRPr="00C757AF">
        <w:rPr>
          <w:rFonts w:ascii="Arial" w:hAnsi="Arial" w:cs="Arial"/>
          <w:sz w:val="24"/>
          <w:szCs w:val="24"/>
        </w:rPr>
        <w:t xml:space="preserve">Learning from deaths is supported by two key policies in </w:t>
      </w:r>
      <w:proofErr w:type="gramStart"/>
      <w:r w:rsidRPr="00C757AF">
        <w:rPr>
          <w:rFonts w:ascii="Arial" w:hAnsi="Arial" w:cs="Arial"/>
          <w:sz w:val="24"/>
          <w:szCs w:val="24"/>
        </w:rPr>
        <w:t>BDC</w:t>
      </w:r>
      <w:r w:rsidR="00A132AA" w:rsidRPr="00C757AF">
        <w:rPr>
          <w:rFonts w:ascii="Arial" w:hAnsi="Arial" w:cs="Arial"/>
          <w:sz w:val="24"/>
          <w:szCs w:val="24"/>
        </w:rPr>
        <w:t>F</w:t>
      </w:r>
      <w:r w:rsidRPr="00C757AF">
        <w:rPr>
          <w:rFonts w:ascii="Arial" w:hAnsi="Arial" w:cs="Arial"/>
          <w:sz w:val="24"/>
          <w:szCs w:val="24"/>
        </w:rPr>
        <w:t>T;</w:t>
      </w:r>
      <w:proofErr w:type="gramEnd"/>
      <w:r w:rsidRPr="00C757AF">
        <w:rPr>
          <w:rFonts w:ascii="Arial" w:hAnsi="Arial" w:cs="Arial"/>
          <w:sz w:val="24"/>
          <w:szCs w:val="24"/>
        </w:rPr>
        <w:t xml:space="preserve"> the </w:t>
      </w:r>
      <w:r w:rsidR="00C757AF" w:rsidRPr="00C757AF">
        <w:rPr>
          <w:rFonts w:ascii="Arial" w:hAnsi="Arial" w:cs="Arial"/>
          <w:sz w:val="24"/>
          <w:szCs w:val="24"/>
        </w:rPr>
        <w:t>Pa</w:t>
      </w:r>
      <w:r w:rsidR="00264C12" w:rsidRPr="00C757AF">
        <w:rPr>
          <w:rFonts w:ascii="Arial" w:hAnsi="Arial" w:cs="Arial"/>
          <w:sz w:val="24"/>
          <w:szCs w:val="24"/>
        </w:rPr>
        <w:t xml:space="preserve">tient Safety Incident Response Policy </w:t>
      </w:r>
      <w:r w:rsidR="00FF7923">
        <w:rPr>
          <w:rFonts w:ascii="Arial" w:hAnsi="Arial" w:cs="Arial"/>
          <w:sz w:val="24"/>
          <w:szCs w:val="24"/>
        </w:rPr>
        <w:t xml:space="preserve">and associated Plan </w:t>
      </w:r>
      <w:r w:rsidR="00C757AF">
        <w:rPr>
          <w:rFonts w:ascii="Arial" w:hAnsi="Arial" w:cs="Arial"/>
          <w:sz w:val="24"/>
          <w:szCs w:val="24"/>
        </w:rPr>
        <w:t xml:space="preserve">(PSIRP) </w:t>
      </w:r>
      <w:r w:rsidRPr="00C757AF">
        <w:rPr>
          <w:rFonts w:ascii="Arial" w:hAnsi="Arial" w:cs="Arial"/>
          <w:sz w:val="24"/>
          <w:szCs w:val="24"/>
        </w:rPr>
        <w:t xml:space="preserve">and the Learning from Deaths </w:t>
      </w:r>
      <w:r w:rsidR="00C757AF">
        <w:rPr>
          <w:rFonts w:ascii="Arial" w:hAnsi="Arial" w:cs="Arial"/>
          <w:sz w:val="24"/>
          <w:szCs w:val="24"/>
        </w:rPr>
        <w:t>(</w:t>
      </w:r>
      <w:proofErr w:type="spellStart"/>
      <w:r w:rsidR="00C757AF">
        <w:rPr>
          <w:rFonts w:ascii="Arial" w:hAnsi="Arial" w:cs="Arial"/>
          <w:sz w:val="24"/>
          <w:szCs w:val="24"/>
        </w:rPr>
        <w:t>LfD</w:t>
      </w:r>
      <w:proofErr w:type="spellEnd"/>
      <w:r w:rsidR="00C757AF">
        <w:rPr>
          <w:rFonts w:ascii="Arial" w:hAnsi="Arial" w:cs="Arial"/>
          <w:sz w:val="24"/>
          <w:szCs w:val="24"/>
        </w:rPr>
        <w:t>) P</w:t>
      </w:r>
      <w:r w:rsidRPr="00C757AF">
        <w:rPr>
          <w:rFonts w:ascii="Arial" w:hAnsi="Arial" w:cs="Arial"/>
          <w:sz w:val="24"/>
          <w:szCs w:val="24"/>
        </w:rPr>
        <w:t>olicy. These policies guide and inform the organisation about reporting, investigating and learning from deaths.</w:t>
      </w:r>
    </w:p>
    <w:p w14:paraId="65CDDAE0" w14:textId="6CA626CD" w:rsidR="005242BD" w:rsidRPr="0033335A" w:rsidRDefault="00E0620C" w:rsidP="0033335A">
      <w:pPr>
        <w:rPr>
          <w:rFonts w:ascii="Arial" w:hAnsi="Arial" w:cs="Arial"/>
          <w:b/>
          <w:sz w:val="24"/>
          <w:szCs w:val="24"/>
        </w:rPr>
      </w:pPr>
      <w:r w:rsidRPr="0033335A">
        <w:rPr>
          <w:rFonts w:ascii="Arial" w:hAnsi="Arial" w:cs="Arial"/>
          <w:b/>
          <w:sz w:val="24"/>
          <w:szCs w:val="24"/>
        </w:rPr>
        <w:t>Current Status</w:t>
      </w:r>
    </w:p>
    <w:p w14:paraId="618702F2" w14:textId="7AC3B2EA" w:rsidR="00E0620C" w:rsidRPr="00047D98" w:rsidRDefault="00146D11" w:rsidP="0033335A">
      <w:pPr>
        <w:rPr>
          <w:rFonts w:ascii="Arial" w:hAnsi="Arial" w:cs="Arial"/>
          <w:color w:val="000000" w:themeColor="text1"/>
          <w:sz w:val="24"/>
          <w:szCs w:val="24"/>
        </w:rPr>
      </w:pPr>
      <w:r w:rsidRPr="00D23EB7">
        <w:rPr>
          <w:rFonts w:ascii="Arial" w:hAnsi="Arial" w:cs="Arial"/>
          <w:sz w:val="24"/>
          <w:szCs w:val="24"/>
        </w:rPr>
        <w:t xml:space="preserve">Between </w:t>
      </w:r>
      <w:r w:rsidR="007B79A1" w:rsidRPr="007B79A1">
        <w:rPr>
          <w:rFonts w:ascii="Arial" w:hAnsi="Arial" w:cs="Arial"/>
          <w:sz w:val="24"/>
          <w:szCs w:val="24"/>
        </w:rPr>
        <w:t xml:space="preserve">01 </w:t>
      </w:r>
      <w:r w:rsidR="0027197D">
        <w:rPr>
          <w:rFonts w:ascii="Arial" w:hAnsi="Arial" w:cs="Arial"/>
          <w:sz w:val="24"/>
          <w:szCs w:val="24"/>
        </w:rPr>
        <w:t>October 20</w:t>
      </w:r>
      <w:r w:rsidR="007B79A1" w:rsidRPr="007B79A1">
        <w:rPr>
          <w:rFonts w:ascii="Arial" w:hAnsi="Arial" w:cs="Arial"/>
          <w:sz w:val="24"/>
          <w:szCs w:val="24"/>
        </w:rPr>
        <w:t>25 and 3</w:t>
      </w:r>
      <w:r w:rsidR="0027197D">
        <w:rPr>
          <w:rFonts w:ascii="Arial" w:hAnsi="Arial" w:cs="Arial"/>
          <w:sz w:val="24"/>
          <w:szCs w:val="24"/>
        </w:rPr>
        <w:t>1 Decem</w:t>
      </w:r>
      <w:r w:rsidR="007B79A1" w:rsidRPr="007B79A1">
        <w:rPr>
          <w:rFonts w:ascii="Arial" w:hAnsi="Arial" w:cs="Arial"/>
          <w:sz w:val="24"/>
          <w:szCs w:val="24"/>
        </w:rPr>
        <w:t>ber 2025</w:t>
      </w:r>
      <w:r w:rsidR="007612A4" w:rsidRPr="00D23EB7">
        <w:rPr>
          <w:rFonts w:ascii="Arial" w:hAnsi="Arial" w:cs="Arial"/>
          <w:sz w:val="24"/>
          <w:szCs w:val="24"/>
        </w:rPr>
        <w:t>,</w:t>
      </w:r>
      <w:r w:rsidRPr="00D23EB7">
        <w:rPr>
          <w:rFonts w:ascii="Arial" w:hAnsi="Arial" w:cs="Arial"/>
          <w:color w:val="FF0000"/>
          <w:sz w:val="24"/>
          <w:szCs w:val="24"/>
        </w:rPr>
        <w:t xml:space="preserve"> </w:t>
      </w:r>
      <w:r w:rsidR="00E0620C" w:rsidRPr="00B01A3F">
        <w:rPr>
          <w:rFonts w:ascii="Arial" w:hAnsi="Arial" w:cs="Arial"/>
          <w:sz w:val="24"/>
          <w:szCs w:val="24"/>
        </w:rPr>
        <w:t xml:space="preserve">a </w:t>
      </w:r>
      <w:r w:rsidR="00E0620C" w:rsidRPr="005D1087">
        <w:rPr>
          <w:rFonts w:ascii="Arial" w:hAnsi="Arial" w:cs="Arial"/>
          <w:color w:val="000000" w:themeColor="text1"/>
          <w:sz w:val="24"/>
          <w:szCs w:val="24"/>
        </w:rPr>
        <w:t xml:space="preserve">total of </w:t>
      </w:r>
      <w:r w:rsidR="00ED0D5E">
        <w:rPr>
          <w:rFonts w:ascii="Arial" w:hAnsi="Arial" w:cs="Arial"/>
          <w:color w:val="000000" w:themeColor="text1"/>
          <w:sz w:val="24"/>
          <w:szCs w:val="24"/>
        </w:rPr>
        <w:t>100</w:t>
      </w:r>
      <w:r w:rsidR="002554E9" w:rsidRPr="005D1087">
        <w:rPr>
          <w:rFonts w:ascii="Arial" w:hAnsi="Arial" w:cs="Arial"/>
          <w:color w:val="000000" w:themeColor="text1"/>
          <w:sz w:val="24"/>
          <w:szCs w:val="24"/>
        </w:rPr>
        <w:t xml:space="preserve"> </w:t>
      </w:r>
      <w:r w:rsidR="00E0620C" w:rsidRPr="005D1087">
        <w:rPr>
          <w:rFonts w:ascii="Arial" w:hAnsi="Arial" w:cs="Arial"/>
          <w:color w:val="000000" w:themeColor="text1"/>
          <w:sz w:val="24"/>
          <w:szCs w:val="24"/>
        </w:rPr>
        <w:t xml:space="preserve">of Bradford </w:t>
      </w:r>
      <w:r w:rsidR="00E0620C" w:rsidRPr="00B01A3F">
        <w:rPr>
          <w:rFonts w:ascii="Arial" w:hAnsi="Arial" w:cs="Arial"/>
          <w:sz w:val="24"/>
          <w:szCs w:val="24"/>
        </w:rPr>
        <w:t>District Care NHS Foundation Trust’s patients died</w:t>
      </w:r>
      <w:r w:rsidR="00E0620C" w:rsidRPr="0044029F">
        <w:rPr>
          <w:rFonts w:ascii="Arial" w:hAnsi="Arial" w:cs="Arial"/>
          <w:sz w:val="24"/>
          <w:szCs w:val="24"/>
        </w:rPr>
        <w:t xml:space="preserve">. </w:t>
      </w:r>
      <w:r w:rsidR="00E0620C" w:rsidRPr="004B3206">
        <w:rPr>
          <w:rFonts w:ascii="Arial" w:hAnsi="Arial" w:cs="Arial"/>
          <w:sz w:val="24"/>
          <w:szCs w:val="24"/>
        </w:rPr>
        <w:t xml:space="preserve">There were </w:t>
      </w:r>
      <w:r w:rsidR="00414764" w:rsidRPr="00ED0D5E">
        <w:rPr>
          <w:rFonts w:ascii="Arial" w:hAnsi="Arial" w:cs="Arial"/>
          <w:color w:val="000000" w:themeColor="text1"/>
          <w:sz w:val="24"/>
          <w:szCs w:val="24"/>
        </w:rPr>
        <w:t>94</w:t>
      </w:r>
      <w:r w:rsidR="003B1428" w:rsidRPr="008A6C4D">
        <w:rPr>
          <w:rFonts w:ascii="Arial" w:hAnsi="Arial" w:cs="Arial"/>
          <w:color w:val="FF0000"/>
          <w:sz w:val="24"/>
          <w:szCs w:val="24"/>
        </w:rPr>
        <w:t xml:space="preserve"> </w:t>
      </w:r>
      <w:r w:rsidR="00E0620C" w:rsidRPr="007B79A1">
        <w:rPr>
          <w:rFonts w:ascii="Arial" w:hAnsi="Arial" w:cs="Arial"/>
          <w:sz w:val="24"/>
          <w:szCs w:val="24"/>
        </w:rPr>
        <w:t>in Q</w:t>
      </w:r>
      <w:r w:rsidR="0027197D">
        <w:rPr>
          <w:rFonts w:ascii="Arial" w:hAnsi="Arial" w:cs="Arial"/>
          <w:sz w:val="24"/>
          <w:szCs w:val="24"/>
        </w:rPr>
        <w:t>3</w:t>
      </w:r>
      <w:r w:rsidR="00E0620C" w:rsidRPr="007B79A1">
        <w:rPr>
          <w:rFonts w:ascii="Arial" w:hAnsi="Arial" w:cs="Arial"/>
          <w:sz w:val="24"/>
          <w:szCs w:val="24"/>
        </w:rPr>
        <w:t xml:space="preserve"> last year</w:t>
      </w:r>
      <w:r w:rsidR="00E0620C" w:rsidRPr="00047D98">
        <w:rPr>
          <w:rFonts w:ascii="Arial" w:hAnsi="Arial" w:cs="Arial"/>
          <w:color w:val="000000" w:themeColor="text1"/>
          <w:sz w:val="24"/>
          <w:szCs w:val="24"/>
        </w:rPr>
        <w:t>.</w:t>
      </w:r>
    </w:p>
    <w:p w14:paraId="4FFD0C37" w14:textId="4DBF9232" w:rsidR="00A94A41" w:rsidRPr="00D73549" w:rsidRDefault="00A94A41" w:rsidP="00A94A41">
      <w:pPr>
        <w:rPr>
          <w:rFonts w:ascii="Arial" w:hAnsi="Arial" w:cs="Arial"/>
          <w:sz w:val="24"/>
          <w:szCs w:val="24"/>
          <w:lang w:eastAsia="en-GB"/>
        </w:rPr>
      </w:pPr>
      <w:r w:rsidRPr="00A05F07">
        <w:rPr>
          <w:rFonts w:ascii="Arial" w:hAnsi="Arial" w:cs="Arial"/>
          <w:sz w:val="24"/>
          <w:szCs w:val="24"/>
          <w:lang w:eastAsia="en-GB"/>
        </w:rPr>
        <w:t>During Q</w:t>
      </w:r>
      <w:r w:rsidR="0027197D">
        <w:rPr>
          <w:rFonts w:ascii="Arial" w:hAnsi="Arial" w:cs="Arial"/>
          <w:sz w:val="24"/>
          <w:szCs w:val="24"/>
          <w:lang w:eastAsia="en-GB"/>
        </w:rPr>
        <w:t>3</w:t>
      </w:r>
      <w:r w:rsidRPr="00A05F07">
        <w:rPr>
          <w:rFonts w:ascii="Arial" w:hAnsi="Arial" w:cs="Arial"/>
          <w:sz w:val="24"/>
          <w:szCs w:val="24"/>
          <w:lang w:eastAsia="en-GB"/>
        </w:rPr>
        <w:t xml:space="preserve"> there were </w:t>
      </w:r>
      <w:r w:rsidR="00414764" w:rsidRPr="00ED0D5E">
        <w:rPr>
          <w:rFonts w:ascii="Arial" w:hAnsi="Arial" w:cs="Arial"/>
          <w:color w:val="000000" w:themeColor="text1"/>
          <w:sz w:val="24"/>
          <w:szCs w:val="24"/>
          <w:lang w:eastAsia="en-GB"/>
        </w:rPr>
        <w:t>4</w:t>
      </w:r>
      <w:r w:rsidRPr="008A6C4D">
        <w:rPr>
          <w:rFonts w:ascii="Arial" w:hAnsi="Arial" w:cs="Arial"/>
          <w:color w:val="FF0000"/>
          <w:sz w:val="24"/>
          <w:szCs w:val="24"/>
          <w:lang w:eastAsia="en-GB"/>
        </w:rPr>
        <w:t xml:space="preserve"> </w:t>
      </w:r>
      <w:r w:rsidRPr="00A05F07">
        <w:rPr>
          <w:rFonts w:ascii="Arial" w:hAnsi="Arial" w:cs="Arial"/>
          <w:sz w:val="24"/>
          <w:szCs w:val="24"/>
          <w:lang w:eastAsia="en-GB"/>
        </w:rPr>
        <w:t xml:space="preserve">reported deaths </w:t>
      </w:r>
      <w:r w:rsidR="0044029F" w:rsidRPr="00A05F07">
        <w:rPr>
          <w:rFonts w:ascii="Arial" w:hAnsi="Arial" w:cs="Arial"/>
          <w:sz w:val="24"/>
          <w:szCs w:val="24"/>
          <w:lang w:eastAsia="en-GB"/>
        </w:rPr>
        <w:t xml:space="preserve">of a </w:t>
      </w:r>
      <w:r w:rsidRPr="00A05F07">
        <w:rPr>
          <w:rFonts w:ascii="Arial" w:hAnsi="Arial" w:cs="Arial"/>
          <w:sz w:val="24"/>
          <w:szCs w:val="24"/>
          <w:lang w:eastAsia="en-GB"/>
        </w:rPr>
        <w:t>Service User with</w:t>
      </w:r>
      <w:r w:rsidR="0044029F" w:rsidRPr="00A05F07">
        <w:rPr>
          <w:rFonts w:ascii="Arial" w:hAnsi="Arial" w:cs="Arial"/>
          <w:sz w:val="24"/>
          <w:szCs w:val="24"/>
          <w:lang w:eastAsia="en-GB"/>
        </w:rPr>
        <w:t xml:space="preserve"> a</w:t>
      </w:r>
      <w:r w:rsidRPr="00A05F07">
        <w:rPr>
          <w:rFonts w:ascii="Arial" w:hAnsi="Arial" w:cs="Arial"/>
          <w:sz w:val="24"/>
          <w:szCs w:val="24"/>
          <w:lang w:eastAsia="en-GB"/>
        </w:rPr>
        <w:t xml:space="preserve"> registered Learning Disability</w:t>
      </w:r>
      <w:r w:rsidRPr="00A05F07">
        <w:rPr>
          <w:rFonts w:ascii="Arial" w:hAnsi="Arial" w:cs="Arial"/>
          <w:sz w:val="20"/>
          <w:szCs w:val="20"/>
        </w:rPr>
        <w:t xml:space="preserve"> </w:t>
      </w:r>
      <w:r w:rsidRPr="00A05F07">
        <w:rPr>
          <w:rFonts w:ascii="Arial" w:hAnsi="Arial" w:cs="Arial"/>
          <w:sz w:val="24"/>
          <w:szCs w:val="24"/>
        </w:rPr>
        <w:t>and/or a</w:t>
      </w:r>
      <w:r w:rsidRPr="00A05F07">
        <w:rPr>
          <w:rFonts w:ascii="Arial" w:hAnsi="Arial" w:cs="Arial"/>
          <w:sz w:val="20"/>
          <w:szCs w:val="20"/>
        </w:rPr>
        <w:t xml:space="preserve"> </w:t>
      </w:r>
      <w:r w:rsidR="0044029F" w:rsidRPr="00A05F07">
        <w:rPr>
          <w:rFonts w:ascii="Arial" w:hAnsi="Arial" w:cs="Arial"/>
          <w:sz w:val="24"/>
          <w:szCs w:val="24"/>
          <w:lang w:eastAsia="en-GB"/>
        </w:rPr>
        <w:t xml:space="preserve">clinical </w:t>
      </w:r>
      <w:r w:rsidRPr="00A05F07">
        <w:rPr>
          <w:rFonts w:ascii="Arial" w:hAnsi="Arial" w:cs="Arial"/>
          <w:sz w:val="24"/>
          <w:szCs w:val="24"/>
          <w:lang w:eastAsia="en-GB"/>
        </w:rPr>
        <w:t xml:space="preserve">diagnosis of Autism.  These have undergone Learning for Lives </w:t>
      </w:r>
      <w:r w:rsidRPr="00D73549">
        <w:rPr>
          <w:rFonts w:ascii="Arial" w:hAnsi="Arial" w:cs="Arial"/>
          <w:sz w:val="24"/>
          <w:szCs w:val="24"/>
          <w:lang w:eastAsia="en-GB"/>
        </w:rPr>
        <w:t>and Deaths (</w:t>
      </w:r>
      <w:proofErr w:type="spellStart"/>
      <w:r w:rsidRPr="00D73549">
        <w:rPr>
          <w:rFonts w:ascii="Arial" w:hAnsi="Arial" w:cs="Arial"/>
          <w:sz w:val="24"/>
          <w:szCs w:val="24"/>
          <w:lang w:eastAsia="en-GB"/>
        </w:rPr>
        <w:t>LeDeR</w:t>
      </w:r>
      <w:proofErr w:type="spellEnd"/>
      <w:r w:rsidRPr="00D73549">
        <w:rPr>
          <w:rFonts w:ascii="Arial" w:hAnsi="Arial" w:cs="Arial"/>
          <w:sz w:val="24"/>
          <w:szCs w:val="24"/>
          <w:lang w:eastAsia="en-GB"/>
        </w:rPr>
        <w:t>) service improvement reviews.</w:t>
      </w:r>
    </w:p>
    <w:p w14:paraId="08982170" w14:textId="2D271A08" w:rsidR="00E0620C" w:rsidRPr="00146D11" w:rsidRDefault="00E0620C" w:rsidP="0033335A">
      <w:pPr>
        <w:rPr>
          <w:rFonts w:ascii="Arial" w:hAnsi="Arial" w:cs="Arial"/>
          <w:sz w:val="24"/>
          <w:szCs w:val="24"/>
        </w:rPr>
      </w:pPr>
      <w:r w:rsidRPr="0CF1AE7A">
        <w:rPr>
          <w:rFonts w:ascii="Arial" w:hAnsi="Arial" w:cs="Arial"/>
          <w:sz w:val="24"/>
          <w:szCs w:val="24"/>
        </w:rPr>
        <w:t>Table 1: Number of reported patient deaths per quarter (rolling 1</w:t>
      </w:r>
      <w:r w:rsidR="00B0006E">
        <w:rPr>
          <w:rFonts w:ascii="Arial" w:hAnsi="Arial" w:cs="Arial"/>
          <w:sz w:val="24"/>
          <w:szCs w:val="24"/>
        </w:rPr>
        <w:t>8</w:t>
      </w:r>
      <w:r w:rsidRPr="0CF1AE7A">
        <w:rPr>
          <w:rFonts w:ascii="Arial" w:hAnsi="Arial" w:cs="Arial"/>
          <w:sz w:val="24"/>
          <w:szCs w:val="24"/>
        </w:rPr>
        <w:t xml:space="preserve"> months)</w:t>
      </w:r>
    </w:p>
    <w:tbl>
      <w:tblPr>
        <w:tblStyle w:val="TableGrid"/>
        <w:tblW w:w="11052" w:type="dxa"/>
        <w:jc w:val="center"/>
        <w:tblLook w:val="04A0" w:firstRow="1" w:lastRow="0" w:firstColumn="1" w:lastColumn="0" w:noHBand="0" w:noVBand="1"/>
      </w:tblPr>
      <w:tblGrid>
        <w:gridCol w:w="3118"/>
        <w:gridCol w:w="1555"/>
        <w:gridCol w:w="1559"/>
        <w:gridCol w:w="1701"/>
        <w:gridCol w:w="1560"/>
        <w:gridCol w:w="1559"/>
      </w:tblGrid>
      <w:tr w:rsidR="00F556B6" w:rsidRPr="0033335A" w14:paraId="1E6D010C" w14:textId="03E67755" w:rsidTr="00A27464">
        <w:trPr>
          <w:jc w:val="center"/>
        </w:trPr>
        <w:tc>
          <w:tcPr>
            <w:tcW w:w="3118" w:type="dxa"/>
          </w:tcPr>
          <w:p w14:paraId="4DC8ED76" w14:textId="2FFB14D7" w:rsidR="00F556B6" w:rsidRPr="008A6C4D" w:rsidRDefault="00F556B6" w:rsidP="00F556B6">
            <w:pPr>
              <w:jc w:val="center"/>
              <w:rPr>
                <w:rFonts w:ascii="Arial" w:hAnsi="Arial" w:cs="Arial"/>
                <w:b/>
                <w:bCs/>
                <w:strike/>
                <w:sz w:val="24"/>
                <w:szCs w:val="24"/>
              </w:rPr>
            </w:pPr>
          </w:p>
        </w:tc>
        <w:tc>
          <w:tcPr>
            <w:tcW w:w="1555" w:type="dxa"/>
          </w:tcPr>
          <w:p w14:paraId="51BC6B1E" w14:textId="77777777" w:rsidR="00F556B6" w:rsidRDefault="00F556B6" w:rsidP="00F556B6">
            <w:pPr>
              <w:jc w:val="center"/>
              <w:rPr>
                <w:rFonts w:ascii="Arial" w:hAnsi="Arial" w:cs="Arial"/>
                <w:color w:val="000000" w:themeColor="text1"/>
                <w:sz w:val="24"/>
                <w:szCs w:val="24"/>
              </w:rPr>
            </w:pPr>
            <w:r>
              <w:rPr>
                <w:rFonts w:ascii="Arial" w:hAnsi="Arial" w:cs="Arial"/>
                <w:color w:val="000000" w:themeColor="text1"/>
                <w:sz w:val="24"/>
                <w:szCs w:val="24"/>
              </w:rPr>
              <w:t>Quarter 3</w:t>
            </w:r>
          </w:p>
          <w:p w14:paraId="03DC1F0C" w14:textId="229CF263" w:rsidR="00F556B6" w:rsidRPr="00F81E74" w:rsidRDefault="00F556B6" w:rsidP="00F556B6">
            <w:pPr>
              <w:jc w:val="center"/>
              <w:rPr>
                <w:rFonts w:ascii="Arial" w:hAnsi="Arial" w:cs="Arial"/>
                <w:sz w:val="24"/>
                <w:szCs w:val="24"/>
              </w:rPr>
            </w:pPr>
            <w:r w:rsidRPr="00146D11">
              <w:rPr>
                <w:rFonts w:ascii="Arial" w:hAnsi="Arial" w:cs="Arial"/>
                <w:sz w:val="24"/>
                <w:szCs w:val="24"/>
              </w:rPr>
              <w:t>2</w:t>
            </w:r>
            <w:r>
              <w:rPr>
                <w:rFonts w:ascii="Arial" w:hAnsi="Arial" w:cs="Arial"/>
                <w:sz w:val="24"/>
                <w:szCs w:val="24"/>
              </w:rPr>
              <w:t>4/25</w:t>
            </w:r>
          </w:p>
        </w:tc>
        <w:tc>
          <w:tcPr>
            <w:tcW w:w="1559" w:type="dxa"/>
          </w:tcPr>
          <w:p w14:paraId="7EB22019" w14:textId="26902B5C" w:rsidR="00F556B6" w:rsidRPr="00F81E74" w:rsidRDefault="00F556B6" w:rsidP="00F556B6">
            <w:pPr>
              <w:jc w:val="center"/>
              <w:rPr>
                <w:rFonts w:ascii="Arial" w:hAnsi="Arial" w:cs="Arial"/>
                <w:sz w:val="24"/>
                <w:szCs w:val="24"/>
              </w:rPr>
            </w:pPr>
            <w:r w:rsidRPr="00F81E74">
              <w:rPr>
                <w:rFonts w:ascii="Arial" w:hAnsi="Arial" w:cs="Arial"/>
                <w:sz w:val="24"/>
                <w:szCs w:val="24"/>
              </w:rPr>
              <w:t>Quarter 4</w:t>
            </w:r>
          </w:p>
          <w:p w14:paraId="53339960" w14:textId="5FC66A58" w:rsidR="00F556B6" w:rsidRDefault="00F556B6" w:rsidP="00F556B6">
            <w:pPr>
              <w:jc w:val="center"/>
              <w:rPr>
                <w:rFonts w:ascii="Arial" w:hAnsi="Arial" w:cs="Arial"/>
                <w:color w:val="000000" w:themeColor="text1"/>
                <w:sz w:val="24"/>
                <w:szCs w:val="24"/>
              </w:rPr>
            </w:pPr>
            <w:r w:rsidRPr="00F81E74">
              <w:rPr>
                <w:rFonts w:ascii="Arial" w:hAnsi="Arial" w:cs="Arial"/>
                <w:sz w:val="24"/>
                <w:szCs w:val="24"/>
              </w:rPr>
              <w:t>2</w:t>
            </w:r>
            <w:r>
              <w:rPr>
                <w:rFonts w:ascii="Arial" w:hAnsi="Arial" w:cs="Arial"/>
                <w:sz w:val="24"/>
                <w:szCs w:val="24"/>
              </w:rPr>
              <w:t>4</w:t>
            </w:r>
            <w:r w:rsidRPr="00F81E74">
              <w:rPr>
                <w:rFonts w:ascii="Arial" w:hAnsi="Arial" w:cs="Arial"/>
                <w:sz w:val="24"/>
                <w:szCs w:val="24"/>
              </w:rPr>
              <w:t>/2</w:t>
            </w:r>
            <w:r>
              <w:rPr>
                <w:rFonts w:ascii="Arial" w:hAnsi="Arial" w:cs="Arial"/>
                <w:sz w:val="24"/>
                <w:szCs w:val="24"/>
              </w:rPr>
              <w:t>5</w:t>
            </w:r>
          </w:p>
        </w:tc>
        <w:tc>
          <w:tcPr>
            <w:tcW w:w="1701" w:type="dxa"/>
          </w:tcPr>
          <w:p w14:paraId="544950A1" w14:textId="77777777" w:rsidR="00F556B6" w:rsidRPr="00146D11" w:rsidRDefault="00F556B6" w:rsidP="00F556B6">
            <w:pPr>
              <w:jc w:val="center"/>
              <w:rPr>
                <w:rFonts w:ascii="Arial" w:hAnsi="Arial" w:cs="Arial"/>
                <w:sz w:val="24"/>
                <w:szCs w:val="24"/>
              </w:rPr>
            </w:pPr>
            <w:r w:rsidRPr="00146D11">
              <w:rPr>
                <w:rFonts w:ascii="Arial" w:hAnsi="Arial" w:cs="Arial"/>
                <w:sz w:val="24"/>
                <w:szCs w:val="24"/>
              </w:rPr>
              <w:t>Quarter 1</w:t>
            </w:r>
          </w:p>
          <w:p w14:paraId="7C9B947A" w14:textId="31CDFDA8" w:rsidR="00F556B6" w:rsidRPr="00F81E74" w:rsidRDefault="00F556B6" w:rsidP="00F556B6">
            <w:pPr>
              <w:jc w:val="center"/>
              <w:rPr>
                <w:rFonts w:ascii="Arial" w:hAnsi="Arial" w:cs="Arial"/>
                <w:sz w:val="24"/>
                <w:szCs w:val="24"/>
              </w:rPr>
            </w:pPr>
            <w:r w:rsidRPr="00146D11">
              <w:rPr>
                <w:rFonts w:ascii="Arial" w:hAnsi="Arial" w:cs="Arial"/>
                <w:sz w:val="24"/>
                <w:szCs w:val="24"/>
              </w:rPr>
              <w:t>2</w:t>
            </w:r>
            <w:r>
              <w:rPr>
                <w:rFonts w:ascii="Arial" w:hAnsi="Arial" w:cs="Arial"/>
                <w:sz w:val="24"/>
                <w:szCs w:val="24"/>
              </w:rPr>
              <w:t>5/26</w:t>
            </w:r>
          </w:p>
        </w:tc>
        <w:tc>
          <w:tcPr>
            <w:tcW w:w="1560" w:type="dxa"/>
          </w:tcPr>
          <w:p w14:paraId="51DD78E6" w14:textId="77777777" w:rsidR="00F556B6" w:rsidRPr="00485DD9" w:rsidRDefault="00F556B6" w:rsidP="00F556B6">
            <w:pPr>
              <w:jc w:val="center"/>
              <w:rPr>
                <w:rFonts w:ascii="Arial" w:hAnsi="Arial" w:cs="Arial"/>
                <w:color w:val="000000" w:themeColor="text1"/>
                <w:sz w:val="24"/>
                <w:szCs w:val="24"/>
              </w:rPr>
            </w:pPr>
            <w:r w:rsidRPr="00485DD9">
              <w:rPr>
                <w:rFonts w:ascii="Arial" w:hAnsi="Arial" w:cs="Arial"/>
                <w:color w:val="000000" w:themeColor="text1"/>
                <w:sz w:val="24"/>
                <w:szCs w:val="24"/>
              </w:rPr>
              <w:t>Quarter 2</w:t>
            </w:r>
          </w:p>
          <w:p w14:paraId="07756548" w14:textId="54BD692E" w:rsidR="00F556B6" w:rsidRPr="00146D11" w:rsidRDefault="00F556B6" w:rsidP="00F556B6">
            <w:pPr>
              <w:jc w:val="center"/>
              <w:rPr>
                <w:rFonts w:ascii="Arial" w:hAnsi="Arial" w:cs="Arial"/>
                <w:sz w:val="24"/>
                <w:szCs w:val="24"/>
              </w:rPr>
            </w:pPr>
            <w:r w:rsidRPr="00146D11">
              <w:rPr>
                <w:rFonts w:ascii="Arial" w:hAnsi="Arial" w:cs="Arial"/>
                <w:sz w:val="24"/>
                <w:szCs w:val="24"/>
              </w:rPr>
              <w:t>25</w:t>
            </w:r>
            <w:r>
              <w:rPr>
                <w:rFonts w:ascii="Arial" w:hAnsi="Arial" w:cs="Arial"/>
                <w:sz w:val="24"/>
                <w:szCs w:val="24"/>
              </w:rPr>
              <w:t>/26</w:t>
            </w:r>
          </w:p>
        </w:tc>
        <w:tc>
          <w:tcPr>
            <w:tcW w:w="1559" w:type="dxa"/>
          </w:tcPr>
          <w:p w14:paraId="72ED5560" w14:textId="77777777" w:rsidR="00F556B6" w:rsidRDefault="00F556B6" w:rsidP="00F556B6">
            <w:pPr>
              <w:jc w:val="center"/>
              <w:rPr>
                <w:rFonts w:ascii="Arial" w:hAnsi="Arial" w:cs="Arial"/>
                <w:color w:val="000000" w:themeColor="text1"/>
                <w:sz w:val="24"/>
                <w:szCs w:val="24"/>
              </w:rPr>
            </w:pPr>
            <w:r>
              <w:rPr>
                <w:rFonts w:ascii="Arial" w:hAnsi="Arial" w:cs="Arial"/>
                <w:color w:val="000000" w:themeColor="text1"/>
                <w:sz w:val="24"/>
                <w:szCs w:val="24"/>
              </w:rPr>
              <w:t>Quarter 3</w:t>
            </w:r>
          </w:p>
          <w:p w14:paraId="3B7C9913" w14:textId="3EED1B2B" w:rsidR="00F556B6" w:rsidRPr="00485DD9" w:rsidRDefault="00F556B6" w:rsidP="00F556B6">
            <w:pPr>
              <w:jc w:val="center"/>
              <w:rPr>
                <w:rFonts w:ascii="Arial" w:hAnsi="Arial" w:cs="Arial"/>
                <w:color w:val="000000" w:themeColor="text1"/>
                <w:sz w:val="24"/>
                <w:szCs w:val="24"/>
              </w:rPr>
            </w:pPr>
            <w:r w:rsidRPr="00146D11">
              <w:rPr>
                <w:rFonts w:ascii="Arial" w:hAnsi="Arial" w:cs="Arial"/>
                <w:sz w:val="24"/>
                <w:szCs w:val="24"/>
              </w:rPr>
              <w:t>25</w:t>
            </w:r>
            <w:r>
              <w:rPr>
                <w:rFonts w:ascii="Arial" w:hAnsi="Arial" w:cs="Arial"/>
                <w:sz w:val="24"/>
                <w:szCs w:val="24"/>
              </w:rPr>
              <w:t>/26</w:t>
            </w:r>
          </w:p>
        </w:tc>
      </w:tr>
      <w:tr w:rsidR="00F556B6" w:rsidRPr="0033335A" w14:paraId="665905D0" w14:textId="36093349" w:rsidTr="00A27464">
        <w:trPr>
          <w:jc w:val="center"/>
        </w:trPr>
        <w:tc>
          <w:tcPr>
            <w:tcW w:w="3118" w:type="dxa"/>
          </w:tcPr>
          <w:p w14:paraId="3DE3A2CA" w14:textId="354DC03A" w:rsidR="00F556B6" w:rsidRPr="008A6C4D" w:rsidRDefault="00F556B6" w:rsidP="00F556B6">
            <w:pPr>
              <w:rPr>
                <w:rFonts w:ascii="Arial" w:hAnsi="Arial" w:cs="Arial"/>
                <w:b/>
                <w:bCs/>
                <w:strike/>
                <w:sz w:val="24"/>
                <w:szCs w:val="24"/>
              </w:rPr>
            </w:pPr>
            <w:r w:rsidRPr="00485DD9">
              <w:rPr>
                <w:rFonts w:ascii="Arial" w:hAnsi="Arial" w:cs="Arial"/>
                <w:color w:val="000000" w:themeColor="text1"/>
                <w:sz w:val="24"/>
                <w:szCs w:val="24"/>
              </w:rPr>
              <w:t>Number of patients who have died during previous 12 months</w:t>
            </w:r>
          </w:p>
        </w:tc>
        <w:tc>
          <w:tcPr>
            <w:tcW w:w="1555" w:type="dxa"/>
          </w:tcPr>
          <w:p w14:paraId="20B2EC97" w14:textId="3593462A" w:rsidR="00F556B6" w:rsidRPr="002554E9" w:rsidRDefault="00F556B6" w:rsidP="00F556B6">
            <w:pPr>
              <w:jc w:val="center"/>
              <w:rPr>
                <w:rFonts w:ascii="Arial" w:hAnsi="Arial" w:cs="Arial"/>
                <w:sz w:val="24"/>
                <w:szCs w:val="24"/>
              </w:rPr>
            </w:pPr>
            <w:r w:rsidRPr="002554E9">
              <w:rPr>
                <w:rFonts w:ascii="Arial" w:hAnsi="Arial" w:cs="Arial"/>
                <w:sz w:val="24"/>
                <w:szCs w:val="24"/>
              </w:rPr>
              <w:t xml:space="preserve">Oct - </w:t>
            </w:r>
            <w:r w:rsidR="00E7728F">
              <w:rPr>
                <w:rFonts w:ascii="Arial" w:hAnsi="Arial" w:cs="Arial"/>
                <w:sz w:val="24"/>
                <w:szCs w:val="24"/>
              </w:rPr>
              <w:t>22</w:t>
            </w:r>
          </w:p>
          <w:p w14:paraId="0B2B2DDB" w14:textId="77777777" w:rsidR="00F556B6" w:rsidRPr="002554E9" w:rsidRDefault="00F556B6" w:rsidP="00F556B6">
            <w:pPr>
              <w:jc w:val="center"/>
              <w:rPr>
                <w:rFonts w:ascii="Arial" w:hAnsi="Arial" w:cs="Arial"/>
                <w:sz w:val="24"/>
                <w:szCs w:val="24"/>
              </w:rPr>
            </w:pPr>
            <w:r w:rsidRPr="002554E9">
              <w:rPr>
                <w:rFonts w:ascii="Arial" w:hAnsi="Arial" w:cs="Arial"/>
                <w:sz w:val="24"/>
                <w:szCs w:val="24"/>
              </w:rPr>
              <w:t xml:space="preserve">Nov - </w:t>
            </w:r>
            <w:r w:rsidRPr="00414764">
              <w:rPr>
                <w:rFonts w:ascii="Arial" w:hAnsi="Arial" w:cs="Arial"/>
                <w:sz w:val="24"/>
                <w:szCs w:val="24"/>
              </w:rPr>
              <w:t>3</w:t>
            </w:r>
            <w:r>
              <w:rPr>
                <w:rFonts w:ascii="Arial" w:hAnsi="Arial" w:cs="Arial"/>
                <w:sz w:val="24"/>
                <w:szCs w:val="24"/>
              </w:rPr>
              <w:t>1</w:t>
            </w:r>
          </w:p>
          <w:p w14:paraId="5CACC438" w14:textId="3A196952" w:rsidR="00F556B6" w:rsidRPr="005D1087" w:rsidRDefault="00F556B6" w:rsidP="00F556B6">
            <w:pPr>
              <w:jc w:val="center"/>
              <w:rPr>
                <w:rFonts w:ascii="Arial" w:hAnsi="Arial" w:cs="Arial"/>
                <w:color w:val="000000" w:themeColor="text1"/>
                <w:sz w:val="24"/>
                <w:szCs w:val="24"/>
              </w:rPr>
            </w:pPr>
            <w:r w:rsidRPr="002554E9">
              <w:rPr>
                <w:rFonts w:ascii="Arial" w:hAnsi="Arial" w:cs="Arial"/>
                <w:sz w:val="24"/>
                <w:szCs w:val="24"/>
              </w:rPr>
              <w:t xml:space="preserve">Dec - </w:t>
            </w:r>
            <w:r w:rsidR="00E7728F">
              <w:rPr>
                <w:rFonts w:ascii="Arial" w:hAnsi="Arial" w:cs="Arial"/>
                <w:sz w:val="24"/>
                <w:szCs w:val="24"/>
              </w:rPr>
              <w:t>41</w:t>
            </w:r>
          </w:p>
        </w:tc>
        <w:tc>
          <w:tcPr>
            <w:tcW w:w="1559" w:type="dxa"/>
          </w:tcPr>
          <w:p w14:paraId="49A032A5" w14:textId="06D962B7" w:rsidR="00F556B6" w:rsidRPr="005D1087" w:rsidRDefault="00F556B6" w:rsidP="00F556B6">
            <w:pPr>
              <w:jc w:val="center"/>
              <w:rPr>
                <w:rFonts w:ascii="Arial" w:hAnsi="Arial" w:cs="Arial"/>
                <w:color w:val="000000" w:themeColor="text1"/>
                <w:sz w:val="24"/>
                <w:szCs w:val="24"/>
              </w:rPr>
            </w:pPr>
            <w:r w:rsidRPr="005D1087">
              <w:rPr>
                <w:rFonts w:ascii="Arial" w:hAnsi="Arial" w:cs="Arial"/>
                <w:color w:val="000000" w:themeColor="text1"/>
                <w:sz w:val="24"/>
                <w:szCs w:val="24"/>
              </w:rPr>
              <w:t>Jan – 33</w:t>
            </w:r>
          </w:p>
          <w:p w14:paraId="21C3B252" w14:textId="4FA0B72F" w:rsidR="00F556B6" w:rsidRPr="005D1087" w:rsidRDefault="00F556B6" w:rsidP="00F556B6">
            <w:pPr>
              <w:jc w:val="center"/>
              <w:rPr>
                <w:rFonts w:ascii="Arial" w:hAnsi="Arial" w:cs="Arial"/>
                <w:color w:val="000000" w:themeColor="text1"/>
                <w:sz w:val="24"/>
                <w:szCs w:val="24"/>
              </w:rPr>
            </w:pPr>
            <w:r w:rsidRPr="005D1087">
              <w:rPr>
                <w:rFonts w:ascii="Arial" w:hAnsi="Arial" w:cs="Arial"/>
                <w:color w:val="000000" w:themeColor="text1"/>
                <w:sz w:val="24"/>
                <w:szCs w:val="24"/>
              </w:rPr>
              <w:t>Feb – 18</w:t>
            </w:r>
          </w:p>
          <w:p w14:paraId="13DCEF17" w14:textId="60AD0971" w:rsidR="00F556B6" w:rsidRPr="005D1087" w:rsidRDefault="00F556B6" w:rsidP="00F556B6">
            <w:pPr>
              <w:jc w:val="center"/>
              <w:rPr>
                <w:rFonts w:ascii="Arial" w:hAnsi="Arial" w:cs="Arial"/>
                <w:color w:val="000000" w:themeColor="text1"/>
                <w:sz w:val="24"/>
                <w:szCs w:val="24"/>
              </w:rPr>
            </w:pPr>
            <w:r w:rsidRPr="005D1087">
              <w:rPr>
                <w:rFonts w:ascii="Arial" w:hAnsi="Arial" w:cs="Arial"/>
                <w:color w:val="000000" w:themeColor="text1"/>
                <w:sz w:val="24"/>
                <w:szCs w:val="24"/>
              </w:rPr>
              <w:t>Mar - 18</w:t>
            </w:r>
          </w:p>
        </w:tc>
        <w:tc>
          <w:tcPr>
            <w:tcW w:w="1701" w:type="dxa"/>
          </w:tcPr>
          <w:p w14:paraId="5ED8DC43" w14:textId="334E07FE" w:rsidR="00F556B6" w:rsidRPr="00A05F07" w:rsidRDefault="00F556B6" w:rsidP="00F556B6">
            <w:pPr>
              <w:jc w:val="center"/>
              <w:rPr>
                <w:rFonts w:ascii="Arial" w:hAnsi="Arial" w:cs="Arial"/>
                <w:sz w:val="24"/>
                <w:szCs w:val="24"/>
              </w:rPr>
            </w:pPr>
            <w:r w:rsidRPr="00A05F07">
              <w:rPr>
                <w:rFonts w:ascii="Arial" w:hAnsi="Arial" w:cs="Arial"/>
                <w:sz w:val="24"/>
                <w:szCs w:val="24"/>
              </w:rPr>
              <w:t>April – 20</w:t>
            </w:r>
          </w:p>
          <w:p w14:paraId="4086DC3E" w14:textId="7232720C" w:rsidR="00F556B6" w:rsidRPr="00A05F07" w:rsidRDefault="00F556B6" w:rsidP="00F556B6">
            <w:pPr>
              <w:jc w:val="center"/>
              <w:rPr>
                <w:rFonts w:ascii="Arial" w:hAnsi="Arial" w:cs="Arial"/>
                <w:sz w:val="24"/>
                <w:szCs w:val="24"/>
              </w:rPr>
            </w:pPr>
            <w:r w:rsidRPr="00A05F07">
              <w:rPr>
                <w:rFonts w:ascii="Arial" w:hAnsi="Arial" w:cs="Arial"/>
                <w:sz w:val="24"/>
                <w:szCs w:val="24"/>
              </w:rPr>
              <w:t>May – 10</w:t>
            </w:r>
          </w:p>
          <w:p w14:paraId="36ECF5C6" w14:textId="17B222A6" w:rsidR="00F556B6" w:rsidRPr="00A05F07" w:rsidRDefault="00F556B6" w:rsidP="00F556B6">
            <w:pPr>
              <w:jc w:val="center"/>
              <w:rPr>
                <w:rFonts w:ascii="Arial" w:hAnsi="Arial" w:cs="Arial"/>
                <w:sz w:val="24"/>
                <w:szCs w:val="24"/>
              </w:rPr>
            </w:pPr>
            <w:r w:rsidRPr="00A05F07">
              <w:rPr>
                <w:rFonts w:ascii="Arial" w:hAnsi="Arial" w:cs="Arial"/>
                <w:sz w:val="24"/>
                <w:szCs w:val="24"/>
              </w:rPr>
              <w:t>June - 19</w:t>
            </w:r>
          </w:p>
        </w:tc>
        <w:tc>
          <w:tcPr>
            <w:tcW w:w="1560" w:type="dxa"/>
          </w:tcPr>
          <w:p w14:paraId="5368A6DE" w14:textId="2227C7FD" w:rsidR="00F556B6" w:rsidRPr="00C07F47" w:rsidRDefault="00F556B6" w:rsidP="00F556B6">
            <w:pPr>
              <w:jc w:val="center"/>
              <w:rPr>
                <w:rFonts w:ascii="Arial" w:hAnsi="Arial" w:cs="Arial"/>
                <w:sz w:val="24"/>
                <w:szCs w:val="24"/>
              </w:rPr>
            </w:pPr>
            <w:r w:rsidRPr="00C07F47">
              <w:rPr>
                <w:rFonts w:ascii="Arial" w:hAnsi="Arial" w:cs="Arial"/>
                <w:sz w:val="24"/>
                <w:szCs w:val="24"/>
              </w:rPr>
              <w:t>Jul – 22</w:t>
            </w:r>
          </w:p>
          <w:p w14:paraId="70D68489" w14:textId="2B48A93A" w:rsidR="00F556B6" w:rsidRPr="00C07F47" w:rsidRDefault="00F556B6" w:rsidP="00F556B6">
            <w:pPr>
              <w:jc w:val="center"/>
              <w:rPr>
                <w:rFonts w:ascii="Arial" w:hAnsi="Arial" w:cs="Arial"/>
                <w:sz w:val="24"/>
                <w:szCs w:val="24"/>
              </w:rPr>
            </w:pPr>
            <w:r w:rsidRPr="00C07F47">
              <w:rPr>
                <w:rFonts w:ascii="Arial" w:hAnsi="Arial" w:cs="Arial"/>
                <w:sz w:val="24"/>
                <w:szCs w:val="24"/>
              </w:rPr>
              <w:t>Aug – 25</w:t>
            </w:r>
          </w:p>
          <w:p w14:paraId="5390D0A6" w14:textId="5CCF09A0" w:rsidR="00F556B6" w:rsidRPr="00A05F07" w:rsidRDefault="00F556B6" w:rsidP="00F556B6">
            <w:pPr>
              <w:jc w:val="center"/>
              <w:rPr>
                <w:rFonts w:ascii="Arial" w:hAnsi="Arial" w:cs="Arial"/>
                <w:sz w:val="24"/>
                <w:szCs w:val="24"/>
              </w:rPr>
            </w:pPr>
            <w:r w:rsidRPr="00C07F47">
              <w:rPr>
                <w:rFonts w:ascii="Arial" w:hAnsi="Arial" w:cs="Arial"/>
                <w:sz w:val="24"/>
                <w:szCs w:val="24"/>
              </w:rPr>
              <w:t>Sept – 21</w:t>
            </w:r>
          </w:p>
        </w:tc>
        <w:tc>
          <w:tcPr>
            <w:tcW w:w="1559" w:type="dxa"/>
          </w:tcPr>
          <w:p w14:paraId="5D94D8F0" w14:textId="0F042E22" w:rsidR="00F556B6" w:rsidRPr="002554E9" w:rsidRDefault="00F556B6" w:rsidP="00F556B6">
            <w:pPr>
              <w:jc w:val="center"/>
              <w:rPr>
                <w:rFonts w:ascii="Arial" w:hAnsi="Arial" w:cs="Arial"/>
                <w:sz w:val="24"/>
                <w:szCs w:val="24"/>
              </w:rPr>
            </w:pPr>
            <w:r w:rsidRPr="002554E9">
              <w:rPr>
                <w:rFonts w:ascii="Arial" w:hAnsi="Arial" w:cs="Arial"/>
                <w:sz w:val="24"/>
                <w:szCs w:val="24"/>
              </w:rPr>
              <w:t xml:space="preserve">Oct - </w:t>
            </w:r>
            <w:r>
              <w:rPr>
                <w:rFonts w:ascii="Arial" w:hAnsi="Arial" w:cs="Arial"/>
                <w:sz w:val="24"/>
                <w:szCs w:val="24"/>
              </w:rPr>
              <w:t>39</w:t>
            </w:r>
          </w:p>
          <w:p w14:paraId="32534AC0" w14:textId="7754D23D" w:rsidR="00F556B6" w:rsidRPr="002554E9" w:rsidRDefault="00F556B6" w:rsidP="00F556B6">
            <w:pPr>
              <w:jc w:val="center"/>
              <w:rPr>
                <w:rFonts w:ascii="Arial" w:hAnsi="Arial" w:cs="Arial"/>
                <w:sz w:val="24"/>
                <w:szCs w:val="24"/>
              </w:rPr>
            </w:pPr>
            <w:r w:rsidRPr="002554E9">
              <w:rPr>
                <w:rFonts w:ascii="Arial" w:hAnsi="Arial" w:cs="Arial"/>
                <w:sz w:val="24"/>
                <w:szCs w:val="24"/>
              </w:rPr>
              <w:t xml:space="preserve">Nov - </w:t>
            </w:r>
            <w:r w:rsidRPr="00414764">
              <w:rPr>
                <w:rFonts w:ascii="Arial" w:hAnsi="Arial" w:cs="Arial"/>
                <w:sz w:val="24"/>
                <w:szCs w:val="24"/>
              </w:rPr>
              <w:t>3</w:t>
            </w:r>
            <w:r>
              <w:rPr>
                <w:rFonts w:ascii="Arial" w:hAnsi="Arial" w:cs="Arial"/>
                <w:sz w:val="24"/>
                <w:szCs w:val="24"/>
              </w:rPr>
              <w:t>1</w:t>
            </w:r>
          </w:p>
          <w:p w14:paraId="1A015901" w14:textId="04010D38" w:rsidR="00F556B6" w:rsidRPr="00C07F47" w:rsidRDefault="00F556B6" w:rsidP="00F556B6">
            <w:pPr>
              <w:jc w:val="center"/>
              <w:rPr>
                <w:rFonts w:ascii="Arial" w:hAnsi="Arial" w:cs="Arial"/>
                <w:sz w:val="24"/>
                <w:szCs w:val="24"/>
              </w:rPr>
            </w:pPr>
            <w:r w:rsidRPr="002554E9">
              <w:rPr>
                <w:rFonts w:ascii="Arial" w:hAnsi="Arial" w:cs="Arial"/>
                <w:sz w:val="24"/>
                <w:szCs w:val="24"/>
              </w:rPr>
              <w:t xml:space="preserve">Dec - </w:t>
            </w:r>
            <w:r>
              <w:rPr>
                <w:rFonts w:ascii="Arial" w:hAnsi="Arial" w:cs="Arial"/>
                <w:sz w:val="24"/>
                <w:szCs w:val="24"/>
              </w:rPr>
              <w:t>30</w:t>
            </w:r>
          </w:p>
        </w:tc>
      </w:tr>
      <w:tr w:rsidR="00F556B6" w:rsidRPr="0033335A" w14:paraId="63D835AE" w14:textId="40C03AE7" w:rsidTr="00A27464">
        <w:trPr>
          <w:trHeight w:val="630"/>
          <w:jc w:val="center"/>
        </w:trPr>
        <w:tc>
          <w:tcPr>
            <w:tcW w:w="3118" w:type="dxa"/>
          </w:tcPr>
          <w:p w14:paraId="08CEDCDF" w14:textId="6E71C582" w:rsidR="00F556B6" w:rsidRPr="008A6C4D" w:rsidRDefault="00F556B6" w:rsidP="00F556B6">
            <w:pPr>
              <w:rPr>
                <w:rFonts w:ascii="Arial" w:hAnsi="Arial" w:cs="Arial"/>
                <w:strike/>
                <w:sz w:val="24"/>
                <w:szCs w:val="24"/>
              </w:rPr>
            </w:pPr>
            <w:r w:rsidRPr="00485DD9">
              <w:rPr>
                <w:rFonts w:ascii="Arial" w:hAnsi="Arial" w:cs="Arial"/>
                <w:color w:val="000000" w:themeColor="text1"/>
                <w:sz w:val="24"/>
                <w:szCs w:val="24"/>
              </w:rPr>
              <w:t>Total per quarter</w:t>
            </w:r>
          </w:p>
        </w:tc>
        <w:tc>
          <w:tcPr>
            <w:tcW w:w="1555" w:type="dxa"/>
          </w:tcPr>
          <w:p w14:paraId="767D1988" w14:textId="77777777" w:rsidR="00F556B6" w:rsidRDefault="00F556B6" w:rsidP="00F556B6">
            <w:pPr>
              <w:jc w:val="center"/>
              <w:rPr>
                <w:rFonts w:ascii="Arial" w:hAnsi="Arial" w:cs="Arial"/>
                <w:b/>
                <w:bCs/>
                <w:sz w:val="16"/>
                <w:szCs w:val="16"/>
              </w:rPr>
            </w:pPr>
          </w:p>
          <w:p w14:paraId="0562B404" w14:textId="11211B82" w:rsidR="00F556B6" w:rsidRPr="00E7728F" w:rsidRDefault="00E7728F" w:rsidP="00F556B6">
            <w:pPr>
              <w:jc w:val="center"/>
              <w:rPr>
                <w:rFonts w:ascii="Arial" w:hAnsi="Arial" w:cs="Arial"/>
                <w:color w:val="000000" w:themeColor="text1"/>
                <w:sz w:val="24"/>
                <w:szCs w:val="24"/>
              </w:rPr>
            </w:pPr>
            <w:r w:rsidRPr="00E7728F">
              <w:rPr>
                <w:rFonts w:ascii="Arial" w:hAnsi="Arial" w:cs="Arial"/>
                <w:color w:val="000000" w:themeColor="text1"/>
                <w:sz w:val="24"/>
                <w:szCs w:val="24"/>
              </w:rPr>
              <w:t>94</w:t>
            </w:r>
          </w:p>
        </w:tc>
        <w:tc>
          <w:tcPr>
            <w:tcW w:w="1559" w:type="dxa"/>
          </w:tcPr>
          <w:p w14:paraId="7C28C04F" w14:textId="1B9A3151" w:rsidR="00F556B6" w:rsidRPr="005D1087" w:rsidRDefault="00F556B6" w:rsidP="00F556B6">
            <w:pPr>
              <w:jc w:val="center"/>
              <w:rPr>
                <w:rFonts w:ascii="Arial" w:hAnsi="Arial" w:cs="Arial"/>
                <w:b/>
                <w:bCs/>
                <w:color w:val="000000" w:themeColor="text1"/>
                <w:sz w:val="16"/>
                <w:szCs w:val="16"/>
              </w:rPr>
            </w:pPr>
          </w:p>
          <w:p w14:paraId="5F5B280B" w14:textId="0D75DFEC" w:rsidR="00F556B6" w:rsidRPr="005D1087" w:rsidRDefault="00F556B6" w:rsidP="00F556B6">
            <w:pPr>
              <w:jc w:val="center"/>
              <w:rPr>
                <w:rFonts w:ascii="Arial" w:hAnsi="Arial" w:cs="Arial"/>
                <w:color w:val="000000" w:themeColor="text1"/>
                <w:sz w:val="24"/>
                <w:szCs w:val="24"/>
              </w:rPr>
            </w:pPr>
            <w:r w:rsidRPr="005D1087">
              <w:rPr>
                <w:rFonts w:ascii="Arial" w:hAnsi="Arial" w:cs="Arial"/>
                <w:color w:val="000000" w:themeColor="text1"/>
                <w:sz w:val="24"/>
                <w:szCs w:val="24"/>
              </w:rPr>
              <w:t>69</w:t>
            </w:r>
          </w:p>
        </w:tc>
        <w:tc>
          <w:tcPr>
            <w:tcW w:w="1701" w:type="dxa"/>
          </w:tcPr>
          <w:p w14:paraId="3C5BAD25" w14:textId="77777777" w:rsidR="00F556B6" w:rsidRPr="00A05F07" w:rsidRDefault="00F556B6" w:rsidP="00F556B6">
            <w:pPr>
              <w:jc w:val="center"/>
              <w:rPr>
                <w:rFonts w:ascii="Arial" w:hAnsi="Arial" w:cs="Arial"/>
                <w:b/>
                <w:bCs/>
                <w:sz w:val="16"/>
                <w:szCs w:val="16"/>
              </w:rPr>
            </w:pPr>
          </w:p>
          <w:p w14:paraId="21992FA9" w14:textId="23ED0F88" w:rsidR="00F556B6" w:rsidRPr="00A05F07" w:rsidRDefault="00F556B6" w:rsidP="00F556B6">
            <w:pPr>
              <w:jc w:val="center"/>
              <w:rPr>
                <w:rFonts w:ascii="Arial" w:hAnsi="Arial" w:cs="Arial"/>
                <w:sz w:val="24"/>
                <w:szCs w:val="24"/>
              </w:rPr>
            </w:pPr>
            <w:r w:rsidRPr="00A05F07">
              <w:rPr>
                <w:rFonts w:ascii="Arial" w:hAnsi="Arial" w:cs="Arial"/>
                <w:sz w:val="24"/>
                <w:szCs w:val="24"/>
              </w:rPr>
              <w:t>49</w:t>
            </w:r>
          </w:p>
        </w:tc>
        <w:tc>
          <w:tcPr>
            <w:tcW w:w="1560" w:type="dxa"/>
          </w:tcPr>
          <w:p w14:paraId="19E8D9EB" w14:textId="77777777" w:rsidR="00F556B6" w:rsidRDefault="00F556B6" w:rsidP="00F556B6">
            <w:pPr>
              <w:jc w:val="center"/>
              <w:rPr>
                <w:rFonts w:ascii="Arial" w:hAnsi="Arial" w:cs="Arial"/>
                <w:b/>
                <w:bCs/>
                <w:sz w:val="16"/>
                <w:szCs w:val="16"/>
              </w:rPr>
            </w:pPr>
          </w:p>
          <w:p w14:paraId="48A6139A" w14:textId="109C9D36" w:rsidR="00F556B6" w:rsidRPr="007B79A1" w:rsidRDefault="00F556B6" w:rsidP="00F556B6">
            <w:pPr>
              <w:jc w:val="center"/>
              <w:rPr>
                <w:rFonts w:ascii="Arial" w:hAnsi="Arial" w:cs="Arial"/>
                <w:sz w:val="24"/>
                <w:szCs w:val="24"/>
              </w:rPr>
            </w:pPr>
            <w:r w:rsidRPr="007B79A1">
              <w:rPr>
                <w:rFonts w:ascii="Arial" w:hAnsi="Arial" w:cs="Arial"/>
                <w:sz w:val="24"/>
                <w:szCs w:val="24"/>
              </w:rPr>
              <w:t>68</w:t>
            </w:r>
          </w:p>
        </w:tc>
        <w:tc>
          <w:tcPr>
            <w:tcW w:w="1559" w:type="dxa"/>
          </w:tcPr>
          <w:p w14:paraId="7277F3EF" w14:textId="77777777" w:rsidR="00F556B6" w:rsidRDefault="00F556B6" w:rsidP="00F556B6">
            <w:pPr>
              <w:jc w:val="center"/>
              <w:rPr>
                <w:rFonts w:ascii="Arial" w:hAnsi="Arial" w:cs="Arial"/>
                <w:b/>
                <w:bCs/>
                <w:sz w:val="16"/>
                <w:szCs w:val="16"/>
              </w:rPr>
            </w:pPr>
          </w:p>
          <w:p w14:paraId="29A08AF5" w14:textId="1307FF9A" w:rsidR="00F556B6" w:rsidRPr="00414764" w:rsidRDefault="00F556B6" w:rsidP="00F556B6">
            <w:pPr>
              <w:jc w:val="center"/>
              <w:rPr>
                <w:rFonts w:ascii="Arial" w:hAnsi="Arial" w:cs="Arial"/>
                <w:sz w:val="24"/>
                <w:szCs w:val="24"/>
              </w:rPr>
            </w:pPr>
            <w:r w:rsidRPr="00ED0D5E">
              <w:rPr>
                <w:rFonts w:ascii="Arial" w:hAnsi="Arial" w:cs="Arial"/>
                <w:color w:val="000000" w:themeColor="text1"/>
                <w:sz w:val="24"/>
                <w:szCs w:val="24"/>
              </w:rPr>
              <w:t>100</w:t>
            </w:r>
          </w:p>
        </w:tc>
      </w:tr>
      <w:tr w:rsidR="00DD3B78" w:rsidRPr="0033335A" w14:paraId="77B2308D" w14:textId="0EFFA715" w:rsidTr="00A27464">
        <w:trPr>
          <w:trHeight w:val="630"/>
          <w:jc w:val="center"/>
        </w:trPr>
        <w:tc>
          <w:tcPr>
            <w:tcW w:w="3118" w:type="dxa"/>
          </w:tcPr>
          <w:p w14:paraId="6B3DDDA4" w14:textId="25DC8528" w:rsidR="00DD3B78" w:rsidRPr="00485DD9" w:rsidRDefault="00DD3B78" w:rsidP="00F556B6">
            <w:pPr>
              <w:rPr>
                <w:rFonts w:ascii="Arial" w:hAnsi="Arial" w:cs="Arial"/>
                <w:color w:val="000000" w:themeColor="text1"/>
                <w:sz w:val="24"/>
                <w:szCs w:val="24"/>
              </w:rPr>
            </w:pPr>
            <w:r w:rsidRPr="00485DD9">
              <w:rPr>
                <w:rFonts w:ascii="Arial" w:hAnsi="Arial" w:cs="Arial"/>
                <w:color w:val="000000" w:themeColor="text1"/>
                <w:sz w:val="24"/>
                <w:szCs w:val="24"/>
              </w:rPr>
              <w:t>Total number of patients who have died in the last 4 quarters</w:t>
            </w:r>
          </w:p>
        </w:tc>
        <w:tc>
          <w:tcPr>
            <w:tcW w:w="7934" w:type="dxa"/>
            <w:gridSpan w:val="5"/>
          </w:tcPr>
          <w:p w14:paraId="3EC72A12" w14:textId="77777777" w:rsidR="00DD3B78" w:rsidRDefault="00DD3B78" w:rsidP="00F556B6">
            <w:pPr>
              <w:jc w:val="center"/>
              <w:rPr>
                <w:rFonts w:ascii="Arial" w:hAnsi="Arial" w:cs="Arial"/>
                <w:color w:val="000000" w:themeColor="text1"/>
                <w:sz w:val="24"/>
                <w:szCs w:val="24"/>
              </w:rPr>
            </w:pPr>
          </w:p>
          <w:p w14:paraId="00B98E73" w14:textId="15D8FE14" w:rsidR="00DD3B78" w:rsidRPr="00562A06" w:rsidRDefault="00CD1C0B" w:rsidP="00F556B6">
            <w:pPr>
              <w:jc w:val="center"/>
              <w:rPr>
                <w:rFonts w:ascii="Arial" w:hAnsi="Arial" w:cs="Arial"/>
                <w:sz w:val="24"/>
                <w:szCs w:val="24"/>
              </w:rPr>
            </w:pPr>
            <w:r>
              <w:rPr>
                <w:rFonts w:ascii="Arial" w:hAnsi="Arial" w:cs="Arial"/>
                <w:color w:val="000000" w:themeColor="text1"/>
                <w:sz w:val="24"/>
                <w:szCs w:val="24"/>
              </w:rPr>
              <w:t>380</w:t>
            </w:r>
          </w:p>
        </w:tc>
      </w:tr>
    </w:tbl>
    <w:p w14:paraId="430CA6A8" w14:textId="77777777" w:rsidR="00076699" w:rsidRDefault="00076699" w:rsidP="00076699">
      <w:pPr>
        <w:spacing w:after="0"/>
        <w:rPr>
          <w:rFonts w:ascii="Arial" w:hAnsi="Arial" w:cs="Arial"/>
          <w:i/>
          <w:iCs/>
          <w:sz w:val="24"/>
          <w:szCs w:val="24"/>
          <w:lang w:eastAsia="en-GB"/>
        </w:rPr>
      </w:pPr>
    </w:p>
    <w:p w14:paraId="51A573D0" w14:textId="2DADFF80" w:rsidR="004966BE" w:rsidRPr="00237F6E" w:rsidRDefault="00076699" w:rsidP="0CF1AE7A">
      <w:pPr>
        <w:rPr>
          <w:rFonts w:ascii="Arial" w:hAnsi="Arial" w:cs="Arial"/>
          <w:i/>
          <w:iCs/>
          <w:sz w:val="24"/>
          <w:szCs w:val="24"/>
          <w:lang w:eastAsia="en-GB"/>
        </w:rPr>
      </w:pPr>
      <w:r w:rsidRPr="0CF1AE7A">
        <w:rPr>
          <w:rFonts w:ascii="Arial" w:hAnsi="Arial" w:cs="Arial"/>
          <w:i/>
          <w:iCs/>
          <w:sz w:val="24"/>
          <w:szCs w:val="24"/>
          <w:lang w:eastAsia="en-GB"/>
        </w:rPr>
        <w:t xml:space="preserve">To note: the total numbers presented per quarter in this report may be slightly different if compared directly to previous reports. This is due in part to the data cleansing process, </w:t>
      </w:r>
      <w:r w:rsidR="00663687" w:rsidRPr="0CF1AE7A">
        <w:rPr>
          <w:rFonts w:ascii="Arial" w:hAnsi="Arial" w:cs="Arial"/>
          <w:i/>
          <w:iCs/>
          <w:sz w:val="24"/>
          <w:szCs w:val="24"/>
          <w:lang w:eastAsia="en-GB"/>
        </w:rPr>
        <w:t>and</w:t>
      </w:r>
      <w:r w:rsidRPr="0CF1AE7A">
        <w:rPr>
          <w:rFonts w:ascii="Arial" w:hAnsi="Arial" w:cs="Arial"/>
          <w:i/>
          <w:iCs/>
          <w:sz w:val="24"/>
          <w:szCs w:val="24"/>
          <w:lang w:eastAsia="en-GB"/>
        </w:rPr>
        <w:t xml:space="preserve"> due to variance at the time of data extraction for the reporting period. This slight variance is created by some deaths not being included in a quarters data at the time of developing the report, because the Trust was notified and/or the death was reported in a later quarter. </w:t>
      </w:r>
      <w:r w:rsidR="00FF7923" w:rsidRPr="0CF1AE7A">
        <w:rPr>
          <w:rFonts w:ascii="Arial" w:hAnsi="Arial" w:cs="Arial"/>
          <w:i/>
          <w:iCs/>
          <w:sz w:val="24"/>
          <w:szCs w:val="24"/>
          <w:lang w:eastAsia="en-GB"/>
        </w:rPr>
        <w:t>Data is</w:t>
      </w:r>
      <w:r w:rsidR="00272B0E" w:rsidRPr="0CF1AE7A">
        <w:rPr>
          <w:rFonts w:ascii="Arial" w:hAnsi="Arial" w:cs="Arial"/>
          <w:i/>
          <w:iCs/>
          <w:sz w:val="24"/>
          <w:szCs w:val="24"/>
          <w:lang w:eastAsia="en-GB"/>
        </w:rPr>
        <w:t xml:space="preserve"> </w:t>
      </w:r>
      <w:r w:rsidRPr="0CF1AE7A">
        <w:rPr>
          <w:rFonts w:ascii="Arial" w:hAnsi="Arial" w:cs="Arial"/>
          <w:i/>
          <w:iCs/>
          <w:sz w:val="24"/>
          <w:szCs w:val="24"/>
          <w:lang w:eastAsia="en-GB"/>
        </w:rPr>
        <w:t xml:space="preserve">correct at the time of report development and </w:t>
      </w:r>
      <w:r w:rsidR="00EC470D" w:rsidRPr="0CF1AE7A">
        <w:rPr>
          <w:rFonts w:ascii="Arial" w:hAnsi="Arial" w:cs="Arial"/>
          <w:i/>
          <w:iCs/>
          <w:sz w:val="24"/>
          <w:szCs w:val="24"/>
          <w:lang w:eastAsia="en-GB"/>
        </w:rPr>
        <w:t xml:space="preserve">will be </w:t>
      </w:r>
      <w:r w:rsidRPr="0CF1AE7A">
        <w:rPr>
          <w:rFonts w:ascii="Arial" w:hAnsi="Arial" w:cs="Arial"/>
          <w:i/>
          <w:iCs/>
          <w:sz w:val="24"/>
          <w:szCs w:val="24"/>
          <w:lang w:eastAsia="en-GB"/>
        </w:rPr>
        <w:t>adjusted to reflect an accurate account at year end.</w:t>
      </w:r>
    </w:p>
    <w:p w14:paraId="25A2D4C6" w14:textId="4B55E6D0" w:rsidR="00FE1A82" w:rsidRPr="00237F6E" w:rsidRDefault="00E0620C" w:rsidP="00FE1A82">
      <w:pPr>
        <w:rPr>
          <w:rFonts w:ascii="Arial" w:hAnsi="Arial" w:cs="Arial"/>
          <w:sz w:val="24"/>
          <w:szCs w:val="24"/>
        </w:rPr>
      </w:pPr>
      <w:r w:rsidRPr="00237F6E">
        <w:rPr>
          <w:rFonts w:ascii="Arial" w:hAnsi="Arial" w:cs="Arial"/>
          <w:sz w:val="24"/>
          <w:szCs w:val="24"/>
        </w:rPr>
        <w:t>All deaths, whether expected due to a clinical condition or unexpected</w:t>
      </w:r>
      <w:r w:rsidR="00373F98" w:rsidRPr="00237F6E">
        <w:rPr>
          <w:rFonts w:ascii="Arial" w:hAnsi="Arial" w:cs="Arial"/>
          <w:sz w:val="24"/>
          <w:szCs w:val="24"/>
        </w:rPr>
        <w:t>,</w:t>
      </w:r>
      <w:r w:rsidRPr="00237F6E">
        <w:rPr>
          <w:rFonts w:ascii="Arial" w:hAnsi="Arial" w:cs="Arial"/>
          <w:sz w:val="24"/>
          <w:szCs w:val="24"/>
        </w:rPr>
        <w:t xml:space="preserve"> are reviewed </w:t>
      </w:r>
      <w:r w:rsidR="005D277D" w:rsidRPr="00237F6E">
        <w:rPr>
          <w:rFonts w:ascii="Arial" w:hAnsi="Arial" w:cs="Arial"/>
          <w:sz w:val="24"/>
          <w:szCs w:val="24"/>
        </w:rPr>
        <w:t>bi-</w:t>
      </w:r>
      <w:r w:rsidRPr="00237F6E">
        <w:rPr>
          <w:rFonts w:ascii="Arial" w:hAnsi="Arial" w:cs="Arial"/>
          <w:sz w:val="24"/>
          <w:szCs w:val="24"/>
        </w:rPr>
        <w:t xml:space="preserve">weekly in the </w:t>
      </w:r>
      <w:r w:rsidR="00DD42ED" w:rsidRPr="00237F6E">
        <w:rPr>
          <w:rFonts w:ascii="Arial" w:hAnsi="Arial" w:cs="Arial"/>
          <w:sz w:val="24"/>
          <w:szCs w:val="24"/>
        </w:rPr>
        <w:t>Patient Safety Executive Panel (PSEP)</w:t>
      </w:r>
      <w:r w:rsidR="00FE1A82" w:rsidRPr="00237F6E">
        <w:rPr>
          <w:rFonts w:ascii="Arial" w:hAnsi="Arial" w:cs="Arial"/>
          <w:sz w:val="24"/>
          <w:szCs w:val="24"/>
        </w:rPr>
        <w:t xml:space="preserve"> </w:t>
      </w:r>
      <w:r w:rsidR="001804A4" w:rsidRPr="00237F6E">
        <w:rPr>
          <w:rFonts w:ascii="Arial" w:hAnsi="Arial" w:cs="Arial"/>
          <w:sz w:val="24"/>
          <w:szCs w:val="24"/>
        </w:rPr>
        <w:t xml:space="preserve">which </w:t>
      </w:r>
      <w:r w:rsidR="00485DD9" w:rsidRPr="00237F6E">
        <w:rPr>
          <w:rFonts w:ascii="Arial" w:hAnsi="Arial" w:cs="Arial"/>
          <w:sz w:val="24"/>
          <w:szCs w:val="24"/>
        </w:rPr>
        <w:t>align</w:t>
      </w:r>
      <w:r w:rsidR="00FE1A82" w:rsidRPr="00237F6E">
        <w:rPr>
          <w:rFonts w:ascii="Arial" w:hAnsi="Arial" w:cs="Arial"/>
          <w:sz w:val="24"/>
          <w:szCs w:val="24"/>
        </w:rPr>
        <w:t>s</w:t>
      </w:r>
      <w:r w:rsidR="00485DD9" w:rsidRPr="00237F6E">
        <w:rPr>
          <w:rFonts w:ascii="Arial" w:hAnsi="Arial" w:cs="Arial"/>
          <w:sz w:val="24"/>
          <w:szCs w:val="24"/>
        </w:rPr>
        <w:t xml:space="preserve"> with good governance processes </w:t>
      </w:r>
      <w:r w:rsidR="00BE66DA" w:rsidRPr="00237F6E">
        <w:rPr>
          <w:rFonts w:ascii="Arial" w:hAnsi="Arial" w:cs="Arial"/>
          <w:sz w:val="24"/>
          <w:szCs w:val="24"/>
        </w:rPr>
        <w:t>under</w:t>
      </w:r>
      <w:r w:rsidR="00485DD9" w:rsidRPr="00237F6E">
        <w:rPr>
          <w:rFonts w:ascii="Arial" w:hAnsi="Arial" w:cs="Arial"/>
          <w:sz w:val="24"/>
          <w:szCs w:val="24"/>
        </w:rPr>
        <w:t xml:space="preserve"> the Patient Safety Incident Response Framework (PSIRF) requirements which </w:t>
      </w:r>
      <w:r w:rsidR="00FE1A82" w:rsidRPr="00237F6E">
        <w:rPr>
          <w:rFonts w:ascii="Arial" w:hAnsi="Arial" w:cs="Arial"/>
          <w:sz w:val="24"/>
          <w:szCs w:val="24"/>
        </w:rPr>
        <w:t>commence</w:t>
      </w:r>
      <w:r w:rsidR="00BE66DA" w:rsidRPr="00237F6E">
        <w:rPr>
          <w:rFonts w:ascii="Arial" w:hAnsi="Arial" w:cs="Arial"/>
          <w:sz w:val="24"/>
          <w:szCs w:val="24"/>
        </w:rPr>
        <w:t>d</w:t>
      </w:r>
      <w:r w:rsidR="00FE1A82" w:rsidRPr="00237F6E">
        <w:rPr>
          <w:rFonts w:ascii="Arial" w:hAnsi="Arial" w:cs="Arial"/>
          <w:sz w:val="24"/>
          <w:szCs w:val="24"/>
        </w:rPr>
        <w:t xml:space="preserve"> </w:t>
      </w:r>
      <w:r w:rsidR="00485DD9" w:rsidRPr="00237F6E">
        <w:rPr>
          <w:rFonts w:ascii="Arial" w:hAnsi="Arial" w:cs="Arial"/>
          <w:sz w:val="24"/>
          <w:szCs w:val="24"/>
        </w:rPr>
        <w:t>in April 2024</w:t>
      </w:r>
      <w:r w:rsidR="008A6C4D">
        <w:rPr>
          <w:rFonts w:ascii="Arial" w:hAnsi="Arial" w:cs="Arial"/>
          <w:sz w:val="24"/>
          <w:szCs w:val="24"/>
        </w:rPr>
        <w:t xml:space="preserve"> </w:t>
      </w:r>
      <w:r w:rsidR="008A6C4D" w:rsidRPr="00A60102">
        <w:rPr>
          <w:rFonts w:ascii="Arial" w:hAnsi="Arial" w:cs="Arial"/>
          <w:sz w:val="24"/>
          <w:szCs w:val="24"/>
        </w:rPr>
        <w:t xml:space="preserve">and </w:t>
      </w:r>
      <w:r w:rsidR="00016796">
        <w:rPr>
          <w:rFonts w:ascii="Arial" w:hAnsi="Arial" w:cs="Arial"/>
          <w:sz w:val="24"/>
          <w:szCs w:val="24"/>
        </w:rPr>
        <w:t>reviewed and approved in June 20</w:t>
      </w:r>
      <w:r w:rsidR="008A6C4D" w:rsidRPr="00A60102">
        <w:rPr>
          <w:rFonts w:ascii="Arial" w:hAnsi="Arial" w:cs="Arial"/>
          <w:sz w:val="24"/>
          <w:szCs w:val="24"/>
        </w:rPr>
        <w:t>25</w:t>
      </w:r>
      <w:r w:rsidR="00485DD9" w:rsidRPr="00237F6E">
        <w:rPr>
          <w:rFonts w:ascii="Arial" w:hAnsi="Arial" w:cs="Arial"/>
          <w:sz w:val="24"/>
          <w:szCs w:val="24"/>
        </w:rPr>
        <w:t xml:space="preserve">. </w:t>
      </w:r>
    </w:p>
    <w:p w14:paraId="7B4E2F76" w14:textId="3CB01A1B" w:rsidR="00FE1A82" w:rsidRPr="00237F6E" w:rsidRDefault="00E0620C" w:rsidP="00FE1A82">
      <w:pPr>
        <w:rPr>
          <w:rFonts w:ascii="Arial" w:hAnsi="Arial" w:cs="Arial"/>
          <w:sz w:val="24"/>
          <w:szCs w:val="24"/>
        </w:rPr>
      </w:pPr>
      <w:r w:rsidRPr="00237F6E">
        <w:rPr>
          <w:rFonts w:ascii="Arial" w:hAnsi="Arial" w:cs="Arial"/>
          <w:sz w:val="24"/>
          <w:szCs w:val="24"/>
        </w:rPr>
        <w:lastRenderedPageBreak/>
        <w:t>This group commissions reviews of case notes from a sample of deaths using the Structured Judgment Review (SJR) tool. This is a national tool developed by the Royal College of Psychiatrists to allow clinicians to take an expert view</w:t>
      </w:r>
      <w:r w:rsidR="003A3696" w:rsidRPr="00237F6E">
        <w:rPr>
          <w:rFonts w:ascii="Arial" w:hAnsi="Arial" w:cs="Arial"/>
          <w:sz w:val="24"/>
          <w:szCs w:val="24"/>
        </w:rPr>
        <w:t xml:space="preserve"> </w:t>
      </w:r>
      <w:r w:rsidRPr="00237F6E">
        <w:rPr>
          <w:rFonts w:ascii="Arial" w:hAnsi="Arial" w:cs="Arial"/>
          <w:sz w:val="24"/>
          <w:szCs w:val="24"/>
        </w:rPr>
        <w:t>of the care offered. The Group may also commission initial reviews which do not consider the full range of factors within the SJR review to understand if an SJR is appropriate, or where an SJR is not required but where there may be learning</w:t>
      </w:r>
      <w:r w:rsidR="00D323B1" w:rsidRPr="00237F6E">
        <w:rPr>
          <w:rFonts w:ascii="Arial" w:hAnsi="Arial" w:cs="Arial"/>
          <w:sz w:val="24"/>
          <w:szCs w:val="24"/>
        </w:rPr>
        <w:t xml:space="preserve">, </w:t>
      </w:r>
      <w:r w:rsidR="00FE1A82" w:rsidRPr="00237F6E">
        <w:rPr>
          <w:rFonts w:ascii="Arial" w:hAnsi="Arial" w:cs="Arial"/>
          <w:sz w:val="24"/>
          <w:szCs w:val="24"/>
        </w:rPr>
        <w:t>other review methods may be used</w:t>
      </w:r>
      <w:r w:rsidR="008709BA">
        <w:rPr>
          <w:rFonts w:ascii="Arial" w:hAnsi="Arial" w:cs="Arial"/>
          <w:sz w:val="24"/>
          <w:szCs w:val="24"/>
        </w:rPr>
        <w:t>;</w:t>
      </w:r>
      <w:r w:rsidR="00FE1A82" w:rsidRPr="00237F6E">
        <w:rPr>
          <w:rFonts w:ascii="Arial" w:hAnsi="Arial" w:cs="Arial"/>
          <w:sz w:val="24"/>
          <w:szCs w:val="24"/>
        </w:rPr>
        <w:t xml:space="preserve"> for example a Local Learning Review (LLR), After Action Review (AAR) or Thematic Analysis (TA) to identifying learning in order to minimise the risk of future harm.</w:t>
      </w:r>
    </w:p>
    <w:p w14:paraId="217011DE" w14:textId="58CD54D6" w:rsidR="00E0620C" w:rsidRPr="00237F6E" w:rsidRDefault="00E0620C" w:rsidP="0033335A">
      <w:pPr>
        <w:rPr>
          <w:rFonts w:ascii="Arial" w:hAnsi="Arial" w:cs="Arial"/>
          <w:sz w:val="24"/>
          <w:szCs w:val="24"/>
          <w:lang w:eastAsia="en-GB"/>
        </w:rPr>
      </w:pPr>
      <w:r w:rsidRPr="0CF1AE7A">
        <w:rPr>
          <w:rFonts w:ascii="Arial" w:hAnsi="Arial" w:cs="Arial"/>
          <w:sz w:val="24"/>
          <w:szCs w:val="24"/>
        </w:rPr>
        <w:t xml:space="preserve">The </w:t>
      </w:r>
      <w:r w:rsidR="00D055F7" w:rsidRPr="0CF1AE7A">
        <w:rPr>
          <w:rFonts w:ascii="Arial" w:hAnsi="Arial" w:cs="Arial"/>
          <w:sz w:val="24"/>
          <w:szCs w:val="24"/>
        </w:rPr>
        <w:t xml:space="preserve">Patient Safety Executive Panel </w:t>
      </w:r>
      <w:r w:rsidRPr="0CF1AE7A">
        <w:rPr>
          <w:rFonts w:ascii="Arial" w:hAnsi="Arial" w:cs="Arial"/>
          <w:sz w:val="24"/>
          <w:szCs w:val="24"/>
        </w:rPr>
        <w:t>considers the outcomes of the reviews and asks the relevant Quality and Operational (</w:t>
      </w:r>
      <w:proofErr w:type="spellStart"/>
      <w:r w:rsidRPr="0CF1AE7A">
        <w:rPr>
          <w:rFonts w:ascii="Arial" w:hAnsi="Arial" w:cs="Arial"/>
          <w:sz w:val="24"/>
          <w:szCs w:val="24"/>
        </w:rPr>
        <w:t>QuOPs</w:t>
      </w:r>
      <w:proofErr w:type="spellEnd"/>
      <w:r w:rsidRPr="0CF1AE7A">
        <w:rPr>
          <w:rFonts w:ascii="Arial" w:hAnsi="Arial" w:cs="Arial"/>
          <w:sz w:val="24"/>
          <w:szCs w:val="24"/>
        </w:rPr>
        <w:t xml:space="preserve">) meeting to develop an action </w:t>
      </w:r>
      <w:r w:rsidR="00A91B01" w:rsidRPr="0CF1AE7A">
        <w:rPr>
          <w:rFonts w:ascii="Arial" w:hAnsi="Arial" w:cs="Arial"/>
          <w:sz w:val="24"/>
          <w:szCs w:val="24"/>
        </w:rPr>
        <w:t>plan regarding</w:t>
      </w:r>
      <w:r w:rsidR="5CEAA770" w:rsidRPr="0CF1AE7A">
        <w:rPr>
          <w:rFonts w:ascii="Arial" w:hAnsi="Arial" w:cs="Arial"/>
          <w:sz w:val="24"/>
          <w:szCs w:val="24"/>
        </w:rPr>
        <w:t xml:space="preserve"> </w:t>
      </w:r>
      <w:r w:rsidRPr="0CF1AE7A">
        <w:rPr>
          <w:rFonts w:ascii="Arial" w:hAnsi="Arial" w:cs="Arial"/>
          <w:sz w:val="24"/>
          <w:szCs w:val="24"/>
        </w:rPr>
        <w:t xml:space="preserve">any areas where it has been suggested that care should be improved. Issues that are of general relevance will be added to the trust </w:t>
      </w:r>
      <w:r w:rsidR="00237F6E" w:rsidRPr="0CF1AE7A">
        <w:rPr>
          <w:rFonts w:ascii="Arial" w:hAnsi="Arial" w:cs="Arial"/>
          <w:sz w:val="24"/>
          <w:szCs w:val="24"/>
        </w:rPr>
        <w:t xml:space="preserve">Patient Safety and Learning page </w:t>
      </w:r>
      <w:r w:rsidRPr="0CF1AE7A">
        <w:rPr>
          <w:rFonts w:ascii="Arial" w:hAnsi="Arial" w:cs="Arial"/>
          <w:sz w:val="24"/>
          <w:szCs w:val="24"/>
        </w:rPr>
        <w:t xml:space="preserve">to enable broader sharing across the organisation. For all deaths of patients who have a Learning Disability, the initial review is shared in the </w:t>
      </w:r>
      <w:r w:rsidR="00D055F7" w:rsidRPr="0CF1AE7A">
        <w:rPr>
          <w:rFonts w:ascii="Arial" w:hAnsi="Arial" w:cs="Arial"/>
          <w:sz w:val="24"/>
          <w:szCs w:val="24"/>
        </w:rPr>
        <w:t>Patient Safety Executive Panel</w:t>
      </w:r>
      <w:r w:rsidR="62919482" w:rsidRPr="0CF1AE7A">
        <w:rPr>
          <w:rFonts w:ascii="Arial" w:hAnsi="Arial" w:cs="Arial"/>
          <w:sz w:val="24"/>
          <w:szCs w:val="24"/>
        </w:rPr>
        <w:t>,</w:t>
      </w:r>
      <w:r w:rsidRPr="0CF1AE7A">
        <w:rPr>
          <w:rFonts w:ascii="Arial" w:hAnsi="Arial" w:cs="Arial"/>
          <w:sz w:val="24"/>
          <w:szCs w:val="24"/>
        </w:rPr>
        <w:t xml:space="preserve"> and they are referred to the national </w:t>
      </w:r>
      <w:r w:rsidR="00237F6E" w:rsidRPr="0CF1AE7A">
        <w:rPr>
          <w:rFonts w:ascii="Arial" w:hAnsi="Arial" w:cs="Arial"/>
          <w:sz w:val="24"/>
          <w:szCs w:val="24"/>
          <w:lang w:eastAsia="en-GB"/>
        </w:rPr>
        <w:t>Learning for Lives and Deaths (</w:t>
      </w:r>
      <w:proofErr w:type="spellStart"/>
      <w:r w:rsidR="00237F6E" w:rsidRPr="0CF1AE7A">
        <w:rPr>
          <w:rFonts w:ascii="Arial" w:hAnsi="Arial" w:cs="Arial"/>
          <w:sz w:val="24"/>
          <w:szCs w:val="24"/>
          <w:lang w:eastAsia="en-GB"/>
        </w:rPr>
        <w:t>LeDeR</w:t>
      </w:r>
      <w:proofErr w:type="spellEnd"/>
      <w:r w:rsidR="00237F6E" w:rsidRPr="0CF1AE7A">
        <w:rPr>
          <w:rFonts w:ascii="Arial" w:hAnsi="Arial" w:cs="Arial"/>
          <w:sz w:val="24"/>
          <w:szCs w:val="24"/>
          <w:lang w:eastAsia="en-GB"/>
        </w:rPr>
        <w:t xml:space="preserve">) </w:t>
      </w:r>
      <w:r w:rsidRPr="0CF1AE7A">
        <w:rPr>
          <w:rFonts w:ascii="Arial" w:hAnsi="Arial" w:cs="Arial"/>
          <w:sz w:val="24"/>
          <w:szCs w:val="24"/>
        </w:rPr>
        <w:t>programme.</w:t>
      </w:r>
    </w:p>
    <w:p w14:paraId="20D8886B" w14:textId="4394AF55" w:rsidR="005737E1" w:rsidRPr="00237F6E" w:rsidRDefault="005737E1" w:rsidP="0033335A">
      <w:pPr>
        <w:rPr>
          <w:rFonts w:ascii="Arial" w:hAnsi="Arial" w:cs="Arial"/>
          <w:sz w:val="24"/>
          <w:szCs w:val="24"/>
        </w:rPr>
      </w:pPr>
      <w:r w:rsidRPr="00237F6E">
        <w:rPr>
          <w:rFonts w:ascii="Arial" w:hAnsi="Arial" w:cs="Arial"/>
          <w:sz w:val="24"/>
          <w:szCs w:val="24"/>
        </w:rPr>
        <w:t xml:space="preserve">The </w:t>
      </w:r>
      <w:r w:rsidR="00E0620C" w:rsidRPr="00237F6E">
        <w:rPr>
          <w:rFonts w:ascii="Arial" w:hAnsi="Arial" w:cs="Arial"/>
          <w:sz w:val="24"/>
          <w:szCs w:val="24"/>
        </w:rPr>
        <w:t>Mortality screening tool</w:t>
      </w:r>
      <w:r w:rsidR="001E7C5D" w:rsidRPr="00237F6E">
        <w:rPr>
          <w:rFonts w:ascii="Arial" w:hAnsi="Arial" w:cs="Arial"/>
          <w:sz w:val="24"/>
          <w:szCs w:val="24"/>
        </w:rPr>
        <w:t>,</w:t>
      </w:r>
      <w:r w:rsidR="00E0620C" w:rsidRPr="00237F6E">
        <w:rPr>
          <w:rFonts w:ascii="Arial" w:hAnsi="Arial" w:cs="Arial"/>
          <w:sz w:val="24"/>
          <w:szCs w:val="24"/>
        </w:rPr>
        <w:t xml:space="preserve"> </w:t>
      </w:r>
      <w:r w:rsidRPr="00237F6E">
        <w:rPr>
          <w:rFonts w:ascii="Arial" w:hAnsi="Arial" w:cs="Arial"/>
          <w:sz w:val="24"/>
          <w:szCs w:val="24"/>
        </w:rPr>
        <w:t xml:space="preserve">embedded </w:t>
      </w:r>
      <w:r w:rsidR="00E0620C" w:rsidRPr="00237F6E">
        <w:rPr>
          <w:rFonts w:ascii="Arial" w:hAnsi="Arial" w:cs="Arial"/>
          <w:sz w:val="24"/>
          <w:szCs w:val="24"/>
        </w:rPr>
        <w:t>on Safeguard</w:t>
      </w:r>
      <w:r w:rsidR="008709BA">
        <w:rPr>
          <w:rFonts w:ascii="Arial" w:hAnsi="Arial" w:cs="Arial"/>
          <w:sz w:val="24"/>
          <w:szCs w:val="24"/>
        </w:rPr>
        <w:t xml:space="preserve"> (the Trust’s Local Risk Management System where all deaths are reported)</w:t>
      </w:r>
      <w:r w:rsidR="001E7C5D" w:rsidRPr="00237F6E">
        <w:rPr>
          <w:rFonts w:ascii="Arial" w:hAnsi="Arial" w:cs="Arial"/>
          <w:sz w:val="24"/>
          <w:szCs w:val="24"/>
        </w:rPr>
        <w:t>,</w:t>
      </w:r>
      <w:r w:rsidR="00485DD9" w:rsidRPr="00237F6E">
        <w:rPr>
          <w:rFonts w:ascii="Arial" w:hAnsi="Arial" w:cs="Arial"/>
          <w:sz w:val="24"/>
          <w:szCs w:val="24"/>
        </w:rPr>
        <w:t xml:space="preserve"> continues to e</w:t>
      </w:r>
      <w:r w:rsidR="00E0620C" w:rsidRPr="00237F6E">
        <w:rPr>
          <w:rFonts w:ascii="Arial" w:hAnsi="Arial" w:cs="Arial"/>
          <w:sz w:val="24"/>
          <w:szCs w:val="24"/>
        </w:rPr>
        <w:t>nabl</w:t>
      </w:r>
      <w:r w:rsidR="00485DD9" w:rsidRPr="00237F6E">
        <w:rPr>
          <w:rFonts w:ascii="Arial" w:hAnsi="Arial" w:cs="Arial"/>
          <w:sz w:val="24"/>
          <w:szCs w:val="24"/>
        </w:rPr>
        <w:t>e</w:t>
      </w:r>
      <w:r w:rsidR="00E0620C" w:rsidRPr="00237F6E">
        <w:rPr>
          <w:rFonts w:ascii="Arial" w:hAnsi="Arial" w:cs="Arial"/>
          <w:sz w:val="24"/>
          <w:szCs w:val="24"/>
        </w:rPr>
        <w:t xml:space="preserve"> reporters to provide more complete information regarding deaths at an earlier point. This is helping facilitate the decisions at </w:t>
      </w:r>
      <w:r w:rsidR="00D055F7" w:rsidRPr="00237F6E">
        <w:rPr>
          <w:rFonts w:ascii="Arial" w:hAnsi="Arial" w:cs="Arial"/>
          <w:sz w:val="24"/>
          <w:szCs w:val="24"/>
        </w:rPr>
        <w:t>PSEP</w:t>
      </w:r>
      <w:r w:rsidR="00E0620C" w:rsidRPr="00237F6E">
        <w:rPr>
          <w:rFonts w:ascii="Arial" w:hAnsi="Arial" w:cs="Arial"/>
          <w:sz w:val="24"/>
          <w:szCs w:val="24"/>
        </w:rPr>
        <w:t xml:space="preserve"> regarding level of review/investigation required. </w:t>
      </w:r>
    </w:p>
    <w:p w14:paraId="185A5E05" w14:textId="68A5C4EF" w:rsidR="00656710" w:rsidRPr="00DA14EF" w:rsidRDefault="00656710" w:rsidP="00656710">
      <w:pPr>
        <w:rPr>
          <w:rFonts w:ascii="Arial" w:hAnsi="Arial" w:cs="Arial"/>
          <w:sz w:val="24"/>
          <w:szCs w:val="24"/>
        </w:rPr>
      </w:pPr>
      <w:r w:rsidRPr="0CF1AE7A">
        <w:rPr>
          <w:rFonts w:ascii="Arial" w:hAnsi="Arial" w:cs="Arial"/>
          <w:sz w:val="24"/>
          <w:szCs w:val="24"/>
        </w:rPr>
        <w:t xml:space="preserve">The number of deaths in each quarter for which a Review, </w:t>
      </w:r>
      <w:r w:rsidR="00354565" w:rsidRPr="0CF1AE7A">
        <w:rPr>
          <w:rFonts w:ascii="Arial" w:hAnsi="Arial" w:cs="Arial"/>
          <w:sz w:val="24"/>
          <w:szCs w:val="24"/>
        </w:rPr>
        <w:t xml:space="preserve">Thematic </w:t>
      </w:r>
      <w:r w:rsidRPr="0CF1AE7A">
        <w:rPr>
          <w:rFonts w:ascii="Arial" w:hAnsi="Arial" w:cs="Arial"/>
          <w:sz w:val="24"/>
          <w:szCs w:val="24"/>
        </w:rPr>
        <w:t>Analysis or Patient Safety Incident Investigation (PSII) was carried out are shown in the following table:</w:t>
      </w:r>
      <w:r w:rsidR="65B3BE7F" w:rsidRPr="0CF1AE7A">
        <w:rPr>
          <w:rFonts w:ascii="Arial" w:hAnsi="Arial" w:cs="Arial"/>
          <w:sz w:val="24"/>
          <w:szCs w:val="24"/>
        </w:rPr>
        <w:t xml:space="preserve">  </w:t>
      </w:r>
    </w:p>
    <w:p w14:paraId="02F4B1D5" w14:textId="25923C18" w:rsidR="00CB2562" w:rsidRPr="00146D11" w:rsidRDefault="00CB2562" w:rsidP="00CB2562">
      <w:pPr>
        <w:rPr>
          <w:rFonts w:ascii="Arial" w:hAnsi="Arial" w:cs="Arial"/>
          <w:sz w:val="24"/>
          <w:szCs w:val="24"/>
        </w:rPr>
      </w:pPr>
      <w:r>
        <w:rPr>
          <w:rFonts w:ascii="Arial" w:hAnsi="Arial" w:cs="Arial"/>
          <w:sz w:val="24"/>
          <w:szCs w:val="24"/>
        </w:rPr>
        <w:t xml:space="preserve">Table 2: </w:t>
      </w:r>
      <w:r w:rsidRPr="0CF1AE7A">
        <w:rPr>
          <w:rFonts w:ascii="Arial" w:hAnsi="Arial" w:cs="Arial"/>
          <w:sz w:val="24"/>
          <w:szCs w:val="24"/>
        </w:rPr>
        <w:t xml:space="preserve">Number of </w:t>
      </w:r>
      <w:r>
        <w:rPr>
          <w:rFonts w:ascii="Arial" w:hAnsi="Arial" w:cs="Arial"/>
          <w:sz w:val="24"/>
          <w:szCs w:val="24"/>
        </w:rPr>
        <w:t xml:space="preserve">deaths </w:t>
      </w:r>
      <w:r w:rsidR="00AC4F2C">
        <w:rPr>
          <w:rFonts w:ascii="Arial" w:hAnsi="Arial" w:cs="Arial"/>
          <w:sz w:val="24"/>
          <w:szCs w:val="24"/>
        </w:rPr>
        <w:t xml:space="preserve">included in </w:t>
      </w:r>
      <w:r>
        <w:rPr>
          <w:rFonts w:ascii="Arial" w:hAnsi="Arial" w:cs="Arial"/>
          <w:sz w:val="24"/>
          <w:szCs w:val="24"/>
        </w:rPr>
        <w:t xml:space="preserve">completed reviews </w:t>
      </w:r>
      <w:r w:rsidRPr="0CF1AE7A">
        <w:rPr>
          <w:rFonts w:ascii="Arial" w:hAnsi="Arial" w:cs="Arial"/>
          <w:sz w:val="24"/>
          <w:szCs w:val="24"/>
        </w:rPr>
        <w:t>per quarter (rolling 1</w:t>
      </w:r>
      <w:r>
        <w:rPr>
          <w:rFonts w:ascii="Arial" w:hAnsi="Arial" w:cs="Arial"/>
          <w:sz w:val="24"/>
          <w:szCs w:val="24"/>
        </w:rPr>
        <w:t>8</w:t>
      </w:r>
      <w:r w:rsidRPr="0CF1AE7A">
        <w:rPr>
          <w:rFonts w:ascii="Arial" w:hAnsi="Arial" w:cs="Arial"/>
          <w:sz w:val="24"/>
          <w:szCs w:val="24"/>
        </w:rPr>
        <w:t xml:space="preserve"> months)</w:t>
      </w:r>
    </w:p>
    <w:tbl>
      <w:tblPr>
        <w:tblStyle w:val="TableGrid"/>
        <w:tblW w:w="10673" w:type="dxa"/>
        <w:jc w:val="center"/>
        <w:tblLook w:val="04A0" w:firstRow="1" w:lastRow="0" w:firstColumn="1" w:lastColumn="0" w:noHBand="0" w:noVBand="1"/>
      </w:tblPr>
      <w:tblGrid>
        <w:gridCol w:w="3823"/>
        <w:gridCol w:w="1418"/>
        <w:gridCol w:w="1286"/>
        <w:gridCol w:w="1382"/>
        <w:gridCol w:w="1382"/>
        <w:gridCol w:w="1382"/>
      </w:tblGrid>
      <w:tr w:rsidR="007251E2" w:rsidRPr="00C35861" w14:paraId="2697AF66" w14:textId="25C86203" w:rsidTr="00AC4F2C">
        <w:trPr>
          <w:jc w:val="center"/>
        </w:trPr>
        <w:tc>
          <w:tcPr>
            <w:tcW w:w="3823" w:type="dxa"/>
          </w:tcPr>
          <w:p w14:paraId="5DD5A6B4" w14:textId="77777777" w:rsidR="007251E2" w:rsidRPr="00F66E5E" w:rsidRDefault="007251E2" w:rsidP="007251E2">
            <w:pPr>
              <w:ind w:left="22"/>
              <w:rPr>
                <w:rFonts w:ascii="Arial" w:hAnsi="Arial" w:cs="Arial"/>
                <w:color w:val="FF0000"/>
                <w:sz w:val="24"/>
                <w:szCs w:val="24"/>
              </w:rPr>
            </w:pPr>
          </w:p>
        </w:tc>
        <w:tc>
          <w:tcPr>
            <w:tcW w:w="1418" w:type="dxa"/>
          </w:tcPr>
          <w:p w14:paraId="56AE6A83" w14:textId="77777777" w:rsidR="007251E2" w:rsidRPr="00F66E5E" w:rsidRDefault="007251E2" w:rsidP="007251E2">
            <w:pPr>
              <w:jc w:val="center"/>
              <w:rPr>
                <w:rFonts w:ascii="Arial" w:hAnsi="Arial" w:cs="Arial"/>
                <w:color w:val="000000" w:themeColor="text1"/>
                <w:sz w:val="24"/>
                <w:szCs w:val="24"/>
              </w:rPr>
            </w:pPr>
            <w:r w:rsidRPr="00F66E5E">
              <w:rPr>
                <w:rFonts w:ascii="Arial" w:hAnsi="Arial" w:cs="Arial"/>
                <w:color w:val="000000" w:themeColor="text1"/>
                <w:sz w:val="24"/>
                <w:szCs w:val="24"/>
              </w:rPr>
              <w:t>Quarter 3</w:t>
            </w:r>
          </w:p>
          <w:p w14:paraId="3DDD98FA" w14:textId="7C3910FB" w:rsidR="007251E2" w:rsidRPr="00F66E5E" w:rsidRDefault="007251E2" w:rsidP="007251E2">
            <w:pPr>
              <w:jc w:val="center"/>
              <w:rPr>
                <w:rFonts w:ascii="Arial" w:hAnsi="Arial" w:cs="Arial"/>
                <w:sz w:val="24"/>
                <w:szCs w:val="24"/>
              </w:rPr>
            </w:pPr>
            <w:r w:rsidRPr="00F66E5E">
              <w:rPr>
                <w:rFonts w:ascii="Arial" w:hAnsi="Arial" w:cs="Arial"/>
                <w:color w:val="000000" w:themeColor="text1"/>
                <w:sz w:val="24"/>
                <w:szCs w:val="24"/>
              </w:rPr>
              <w:t>24</w:t>
            </w:r>
            <w:r>
              <w:rPr>
                <w:rFonts w:ascii="Arial" w:hAnsi="Arial" w:cs="Arial"/>
                <w:color w:val="000000" w:themeColor="text1"/>
                <w:sz w:val="24"/>
                <w:szCs w:val="24"/>
              </w:rPr>
              <w:t>/25</w:t>
            </w:r>
          </w:p>
        </w:tc>
        <w:tc>
          <w:tcPr>
            <w:tcW w:w="1286" w:type="dxa"/>
          </w:tcPr>
          <w:p w14:paraId="36FEDD1C" w14:textId="3A527653" w:rsidR="007251E2" w:rsidRPr="00F66E5E" w:rsidRDefault="007251E2" w:rsidP="007251E2">
            <w:pPr>
              <w:jc w:val="center"/>
              <w:rPr>
                <w:rFonts w:ascii="Arial" w:hAnsi="Arial" w:cs="Arial"/>
                <w:sz w:val="24"/>
                <w:szCs w:val="24"/>
              </w:rPr>
            </w:pPr>
            <w:r w:rsidRPr="00F66E5E">
              <w:rPr>
                <w:rFonts w:ascii="Arial" w:hAnsi="Arial" w:cs="Arial"/>
                <w:sz w:val="24"/>
                <w:szCs w:val="24"/>
              </w:rPr>
              <w:t>Quarter 4</w:t>
            </w:r>
          </w:p>
          <w:p w14:paraId="6D6C0BE6" w14:textId="3FAE47CB" w:rsidR="007251E2" w:rsidRPr="00F66E5E" w:rsidRDefault="007251E2" w:rsidP="007251E2">
            <w:pPr>
              <w:jc w:val="center"/>
              <w:rPr>
                <w:rFonts w:ascii="Arial" w:hAnsi="Arial" w:cs="Arial"/>
                <w:color w:val="000000" w:themeColor="text1"/>
                <w:sz w:val="24"/>
                <w:szCs w:val="24"/>
              </w:rPr>
            </w:pPr>
            <w:r w:rsidRPr="00F66E5E">
              <w:rPr>
                <w:rFonts w:ascii="Arial" w:hAnsi="Arial" w:cs="Arial"/>
                <w:sz w:val="24"/>
                <w:szCs w:val="24"/>
              </w:rPr>
              <w:t>2</w:t>
            </w:r>
            <w:r>
              <w:rPr>
                <w:rFonts w:ascii="Arial" w:hAnsi="Arial" w:cs="Arial"/>
                <w:sz w:val="24"/>
                <w:szCs w:val="24"/>
              </w:rPr>
              <w:t>4</w:t>
            </w:r>
            <w:r w:rsidRPr="00F66E5E">
              <w:rPr>
                <w:rFonts w:ascii="Arial" w:hAnsi="Arial" w:cs="Arial"/>
                <w:sz w:val="24"/>
                <w:szCs w:val="24"/>
              </w:rPr>
              <w:t>/2</w:t>
            </w:r>
            <w:r>
              <w:rPr>
                <w:rFonts w:ascii="Arial" w:hAnsi="Arial" w:cs="Arial"/>
                <w:sz w:val="24"/>
                <w:szCs w:val="24"/>
              </w:rPr>
              <w:t>5</w:t>
            </w:r>
          </w:p>
        </w:tc>
        <w:tc>
          <w:tcPr>
            <w:tcW w:w="1382" w:type="dxa"/>
          </w:tcPr>
          <w:p w14:paraId="608A8015" w14:textId="77777777" w:rsidR="007251E2" w:rsidRPr="00F66E5E" w:rsidRDefault="007251E2" w:rsidP="007251E2">
            <w:pPr>
              <w:jc w:val="center"/>
              <w:rPr>
                <w:rFonts w:ascii="Arial" w:hAnsi="Arial" w:cs="Arial"/>
                <w:sz w:val="24"/>
                <w:szCs w:val="24"/>
              </w:rPr>
            </w:pPr>
            <w:r w:rsidRPr="00F66E5E">
              <w:rPr>
                <w:rFonts w:ascii="Arial" w:hAnsi="Arial" w:cs="Arial"/>
                <w:sz w:val="24"/>
                <w:szCs w:val="24"/>
              </w:rPr>
              <w:t>Quarter 1</w:t>
            </w:r>
          </w:p>
          <w:p w14:paraId="4FECB4CE" w14:textId="214B7152" w:rsidR="007251E2" w:rsidRPr="00F66E5E" w:rsidRDefault="007251E2" w:rsidP="007251E2">
            <w:pPr>
              <w:jc w:val="center"/>
              <w:rPr>
                <w:rFonts w:ascii="Arial" w:hAnsi="Arial" w:cs="Arial"/>
                <w:sz w:val="24"/>
                <w:szCs w:val="24"/>
              </w:rPr>
            </w:pPr>
            <w:r w:rsidRPr="00F66E5E">
              <w:rPr>
                <w:rFonts w:ascii="Arial" w:hAnsi="Arial" w:cs="Arial"/>
                <w:sz w:val="24"/>
                <w:szCs w:val="24"/>
              </w:rPr>
              <w:t>25</w:t>
            </w:r>
            <w:r>
              <w:rPr>
                <w:rFonts w:ascii="Arial" w:hAnsi="Arial" w:cs="Arial"/>
                <w:sz w:val="24"/>
                <w:szCs w:val="24"/>
              </w:rPr>
              <w:t>/26</w:t>
            </w:r>
          </w:p>
        </w:tc>
        <w:tc>
          <w:tcPr>
            <w:tcW w:w="1382" w:type="dxa"/>
          </w:tcPr>
          <w:p w14:paraId="7DAAE986" w14:textId="77777777" w:rsidR="007251E2" w:rsidRPr="00F66E5E" w:rsidRDefault="007251E2" w:rsidP="007251E2">
            <w:pPr>
              <w:jc w:val="center"/>
              <w:rPr>
                <w:rFonts w:ascii="Arial" w:hAnsi="Arial" w:cs="Arial"/>
                <w:color w:val="000000" w:themeColor="text1"/>
                <w:sz w:val="24"/>
                <w:szCs w:val="24"/>
              </w:rPr>
            </w:pPr>
            <w:r w:rsidRPr="00F66E5E">
              <w:rPr>
                <w:rFonts w:ascii="Arial" w:hAnsi="Arial" w:cs="Arial"/>
                <w:color w:val="000000" w:themeColor="text1"/>
                <w:sz w:val="24"/>
                <w:szCs w:val="24"/>
              </w:rPr>
              <w:t>Quarter 2</w:t>
            </w:r>
          </w:p>
          <w:p w14:paraId="12F02896" w14:textId="098799A4" w:rsidR="007251E2" w:rsidRPr="00F66E5E" w:rsidRDefault="007251E2" w:rsidP="007251E2">
            <w:pPr>
              <w:jc w:val="center"/>
              <w:rPr>
                <w:rFonts w:ascii="Arial" w:hAnsi="Arial" w:cs="Arial"/>
                <w:sz w:val="24"/>
                <w:szCs w:val="24"/>
              </w:rPr>
            </w:pPr>
            <w:r>
              <w:rPr>
                <w:rFonts w:ascii="Arial" w:hAnsi="Arial" w:cs="Arial"/>
                <w:sz w:val="24"/>
                <w:szCs w:val="24"/>
              </w:rPr>
              <w:t>25/26</w:t>
            </w:r>
          </w:p>
        </w:tc>
        <w:tc>
          <w:tcPr>
            <w:tcW w:w="1382" w:type="dxa"/>
          </w:tcPr>
          <w:p w14:paraId="23054285" w14:textId="77777777" w:rsidR="007251E2" w:rsidRPr="00F66E5E" w:rsidRDefault="007251E2" w:rsidP="007251E2">
            <w:pPr>
              <w:jc w:val="center"/>
              <w:rPr>
                <w:rFonts w:ascii="Arial" w:hAnsi="Arial" w:cs="Arial"/>
                <w:color w:val="000000" w:themeColor="text1"/>
                <w:sz w:val="24"/>
                <w:szCs w:val="24"/>
              </w:rPr>
            </w:pPr>
            <w:r w:rsidRPr="00F66E5E">
              <w:rPr>
                <w:rFonts w:ascii="Arial" w:hAnsi="Arial" w:cs="Arial"/>
                <w:color w:val="000000" w:themeColor="text1"/>
                <w:sz w:val="24"/>
                <w:szCs w:val="24"/>
              </w:rPr>
              <w:t>Quarter 3</w:t>
            </w:r>
          </w:p>
          <w:p w14:paraId="1364DEFD" w14:textId="7191F531" w:rsidR="007251E2" w:rsidRPr="00F66E5E" w:rsidRDefault="007251E2" w:rsidP="007251E2">
            <w:pPr>
              <w:jc w:val="center"/>
              <w:rPr>
                <w:rFonts w:ascii="Arial" w:hAnsi="Arial" w:cs="Arial"/>
                <w:color w:val="000000" w:themeColor="text1"/>
                <w:sz w:val="24"/>
                <w:szCs w:val="24"/>
              </w:rPr>
            </w:pPr>
            <w:r>
              <w:rPr>
                <w:rFonts w:ascii="Arial" w:hAnsi="Arial" w:cs="Arial"/>
                <w:sz w:val="24"/>
                <w:szCs w:val="24"/>
              </w:rPr>
              <w:t>25/26</w:t>
            </w:r>
          </w:p>
        </w:tc>
      </w:tr>
      <w:tr w:rsidR="007251E2" w:rsidRPr="00C35861" w14:paraId="0945FDD9" w14:textId="1FCB57D8" w:rsidTr="00AC4F2C">
        <w:trPr>
          <w:jc w:val="center"/>
        </w:trPr>
        <w:tc>
          <w:tcPr>
            <w:tcW w:w="3823" w:type="dxa"/>
          </w:tcPr>
          <w:p w14:paraId="243097B3" w14:textId="77777777" w:rsidR="007251E2" w:rsidRPr="00F66E5E" w:rsidRDefault="007251E2" w:rsidP="007251E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Structured Judgement Review was completed</w:t>
            </w:r>
          </w:p>
        </w:tc>
        <w:tc>
          <w:tcPr>
            <w:tcW w:w="1418" w:type="dxa"/>
          </w:tcPr>
          <w:p w14:paraId="344D74E1" w14:textId="77777777" w:rsidR="007251E2" w:rsidRPr="00F34774" w:rsidRDefault="007251E2" w:rsidP="007251E2">
            <w:pPr>
              <w:jc w:val="center"/>
              <w:rPr>
                <w:rFonts w:ascii="Arial" w:hAnsi="Arial" w:cs="Arial"/>
                <w:color w:val="FF0000"/>
                <w:sz w:val="24"/>
                <w:szCs w:val="24"/>
              </w:rPr>
            </w:pPr>
          </w:p>
          <w:p w14:paraId="12DD6BB2" w14:textId="1A89B3C8" w:rsidR="007251E2" w:rsidRPr="00FB46D2" w:rsidRDefault="007251E2" w:rsidP="007251E2">
            <w:pPr>
              <w:jc w:val="center"/>
              <w:rPr>
                <w:rFonts w:ascii="Arial" w:hAnsi="Arial" w:cs="Arial"/>
                <w:sz w:val="24"/>
                <w:szCs w:val="24"/>
              </w:rPr>
            </w:pPr>
            <w:r w:rsidRPr="00F2416A">
              <w:rPr>
                <w:rFonts w:ascii="Arial" w:hAnsi="Arial" w:cs="Arial"/>
                <w:sz w:val="24"/>
                <w:szCs w:val="24"/>
              </w:rPr>
              <w:t>1</w:t>
            </w:r>
          </w:p>
        </w:tc>
        <w:tc>
          <w:tcPr>
            <w:tcW w:w="1286" w:type="dxa"/>
          </w:tcPr>
          <w:p w14:paraId="0B2047BC" w14:textId="7B690B7E" w:rsidR="007251E2" w:rsidRPr="00FB46D2" w:rsidRDefault="007251E2" w:rsidP="007251E2">
            <w:pPr>
              <w:jc w:val="center"/>
              <w:rPr>
                <w:rFonts w:ascii="Arial" w:hAnsi="Arial" w:cs="Arial"/>
                <w:sz w:val="24"/>
                <w:szCs w:val="24"/>
              </w:rPr>
            </w:pPr>
          </w:p>
          <w:p w14:paraId="674581FB" w14:textId="75C15F94" w:rsidR="007251E2" w:rsidRPr="00FB46D2" w:rsidRDefault="007251E2" w:rsidP="007251E2">
            <w:pPr>
              <w:jc w:val="center"/>
              <w:rPr>
                <w:rFonts w:ascii="Arial" w:hAnsi="Arial" w:cs="Arial"/>
                <w:sz w:val="24"/>
                <w:szCs w:val="24"/>
              </w:rPr>
            </w:pPr>
            <w:r w:rsidRPr="00FB46D2">
              <w:rPr>
                <w:rFonts w:ascii="Arial" w:hAnsi="Arial" w:cs="Arial"/>
                <w:sz w:val="24"/>
                <w:szCs w:val="24"/>
              </w:rPr>
              <w:t>1</w:t>
            </w:r>
          </w:p>
        </w:tc>
        <w:tc>
          <w:tcPr>
            <w:tcW w:w="1382" w:type="dxa"/>
          </w:tcPr>
          <w:p w14:paraId="1861C3C0" w14:textId="77777777" w:rsidR="007251E2" w:rsidRPr="005E4CF0" w:rsidRDefault="007251E2" w:rsidP="007251E2">
            <w:pPr>
              <w:jc w:val="center"/>
              <w:rPr>
                <w:rFonts w:ascii="Arial" w:hAnsi="Arial" w:cs="Arial"/>
                <w:color w:val="FF0000"/>
                <w:sz w:val="24"/>
                <w:szCs w:val="24"/>
              </w:rPr>
            </w:pPr>
          </w:p>
          <w:p w14:paraId="43865C7F" w14:textId="7091C1F1" w:rsidR="007251E2" w:rsidRPr="005E4CF0" w:rsidRDefault="007251E2" w:rsidP="007251E2">
            <w:pPr>
              <w:jc w:val="center"/>
              <w:rPr>
                <w:rFonts w:ascii="Arial" w:hAnsi="Arial" w:cs="Arial"/>
                <w:color w:val="FF0000"/>
                <w:sz w:val="24"/>
                <w:szCs w:val="24"/>
              </w:rPr>
            </w:pPr>
            <w:r w:rsidRPr="00A97204">
              <w:rPr>
                <w:rFonts w:ascii="Arial" w:hAnsi="Arial" w:cs="Arial"/>
                <w:sz w:val="24"/>
                <w:szCs w:val="24"/>
              </w:rPr>
              <w:t>5</w:t>
            </w:r>
          </w:p>
        </w:tc>
        <w:tc>
          <w:tcPr>
            <w:tcW w:w="1382" w:type="dxa"/>
          </w:tcPr>
          <w:p w14:paraId="3C457124" w14:textId="77777777" w:rsidR="007251E2" w:rsidRPr="008A6C4D" w:rsidRDefault="007251E2" w:rsidP="007251E2">
            <w:pPr>
              <w:jc w:val="center"/>
              <w:rPr>
                <w:rFonts w:ascii="Arial" w:hAnsi="Arial" w:cs="Arial"/>
                <w:color w:val="FF0000"/>
                <w:sz w:val="24"/>
                <w:szCs w:val="24"/>
              </w:rPr>
            </w:pPr>
          </w:p>
          <w:p w14:paraId="366DBDDC" w14:textId="54898D5F" w:rsidR="007251E2" w:rsidRPr="008A6C4D" w:rsidRDefault="007251E2" w:rsidP="007251E2">
            <w:pPr>
              <w:jc w:val="center"/>
              <w:rPr>
                <w:rFonts w:ascii="Arial" w:hAnsi="Arial" w:cs="Arial"/>
                <w:color w:val="FF0000"/>
                <w:sz w:val="24"/>
                <w:szCs w:val="24"/>
              </w:rPr>
            </w:pPr>
            <w:r w:rsidRPr="00D6012E">
              <w:rPr>
                <w:rFonts w:ascii="Arial" w:hAnsi="Arial" w:cs="Arial"/>
                <w:color w:val="000000" w:themeColor="text1"/>
                <w:sz w:val="24"/>
                <w:szCs w:val="24"/>
              </w:rPr>
              <w:t>0</w:t>
            </w:r>
          </w:p>
        </w:tc>
        <w:tc>
          <w:tcPr>
            <w:tcW w:w="1382" w:type="dxa"/>
          </w:tcPr>
          <w:p w14:paraId="2FAAA526" w14:textId="77777777" w:rsidR="007251E2" w:rsidRDefault="007251E2" w:rsidP="007251E2">
            <w:pPr>
              <w:jc w:val="center"/>
              <w:rPr>
                <w:rFonts w:ascii="Arial" w:hAnsi="Arial" w:cs="Arial"/>
                <w:color w:val="FF0000"/>
                <w:sz w:val="24"/>
                <w:szCs w:val="24"/>
              </w:rPr>
            </w:pPr>
          </w:p>
          <w:p w14:paraId="56F5BB54" w14:textId="408E66FD" w:rsidR="007251E2" w:rsidRPr="008A6C4D" w:rsidRDefault="007251E2" w:rsidP="007251E2">
            <w:pPr>
              <w:jc w:val="center"/>
              <w:rPr>
                <w:rFonts w:ascii="Arial" w:hAnsi="Arial" w:cs="Arial"/>
                <w:color w:val="FF0000"/>
                <w:sz w:val="24"/>
                <w:szCs w:val="24"/>
              </w:rPr>
            </w:pPr>
            <w:r w:rsidRPr="00E423B4">
              <w:rPr>
                <w:rFonts w:ascii="Arial" w:hAnsi="Arial" w:cs="Arial"/>
                <w:sz w:val="24"/>
                <w:szCs w:val="24"/>
              </w:rPr>
              <w:t>0</w:t>
            </w:r>
          </w:p>
        </w:tc>
      </w:tr>
      <w:tr w:rsidR="007251E2" w:rsidRPr="00C35861" w14:paraId="4DCC2B86" w14:textId="2C2078C2" w:rsidTr="00AC4F2C">
        <w:trPr>
          <w:jc w:val="center"/>
        </w:trPr>
        <w:tc>
          <w:tcPr>
            <w:tcW w:w="3823" w:type="dxa"/>
          </w:tcPr>
          <w:p w14:paraId="6698909F" w14:textId="700C17A8" w:rsidR="007251E2" w:rsidRPr="00237F6E" w:rsidRDefault="007251E2" w:rsidP="007251E2">
            <w:pPr>
              <w:rPr>
                <w:rFonts w:ascii="Arial" w:hAnsi="Arial" w:cs="Arial"/>
                <w:color w:val="000000" w:themeColor="text1"/>
                <w:sz w:val="24"/>
                <w:szCs w:val="24"/>
              </w:rPr>
            </w:pPr>
            <w:r w:rsidRPr="00237F6E">
              <w:rPr>
                <w:rFonts w:ascii="Arial" w:hAnsi="Arial" w:cs="Arial"/>
                <w:color w:val="000000" w:themeColor="text1"/>
                <w:sz w:val="24"/>
                <w:szCs w:val="24"/>
              </w:rPr>
              <w:t>Number of deaths for which a Local Learning Review was completed</w:t>
            </w:r>
          </w:p>
        </w:tc>
        <w:tc>
          <w:tcPr>
            <w:tcW w:w="1418" w:type="dxa"/>
            <w:vAlign w:val="center"/>
          </w:tcPr>
          <w:p w14:paraId="5CC3756C" w14:textId="2FC2C38B" w:rsidR="007251E2" w:rsidRDefault="007251E2" w:rsidP="007251E2">
            <w:pPr>
              <w:jc w:val="center"/>
              <w:rPr>
                <w:rFonts w:ascii="Arial" w:hAnsi="Arial" w:cs="Arial"/>
                <w:sz w:val="24"/>
                <w:szCs w:val="24"/>
              </w:rPr>
            </w:pPr>
            <w:r>
              <w:rPr>
                <w:rFonts w:ascii="Arial" w:hAnsi="Arial" w:cs="Arial"/>
                <w:sz w:val="24"/>
                <w:szCs w:val="24"/>
              </w:rPr>
              <w:t>2</w:t>
            </w:r>
          </w:p>
        </w:tc>
        <w:tc>
          <w:tcPr>
            <w:tcW w:w="1286" w:type="dxa"/>
            <w:vAlign w:val="center"/>
          </w:tcPr>
          <w:p w14:paraId="22B62F7F" w14:textId="04AE8449" w:rsidR="007251E2" w:rsidRPr="00FB46D2" w:rsidRDefault="007251E2" w:rsidP="007251E2">
            <w:pPr>
              <w:jc w:val="center"/>
              <w:rPr>
                <w:rFonts w:ascii="Arial" w:hAnsi="Arial" w:cs="Arial"/>
                <w:sz w:val="24"/>
                <w:szCs w:val="24"/>
              </w:rPr>
            </w:pPr>
            <w:r>
              <w:rPr>
                <w:rFonts w:ascii="Arial" w:hAnsi="Arial" w:cs="Arial"/>
                <w:sz w:val="24"/>
                <w:szCs w:val="24"/>
              </w:rPr>
              <w:t>0</w:t>
            </w:r>
          </w:p>
        </w:tc>
        <w:tc>
          <w:tcPr>
            <w:tcW w:w="1382" w:type="dxa"/>
            <w:vAlign w:val="center"/>
          </w:tcPr>
          <w:p w14:paraId="0B2166CC" w14:textId="1946CCA2" w:rsidR="007251E2" w:rsidRPr="005E4CF0" w:rsidRDefault="007251E2" w:rsidP="007251E2">
            <w:pPr>
              <w:jc w:val="center"/>
              <w:rPr>
                <w:rFonts w:ascii="Arial" w:hAnsi="Arial" w:cs="Arial"/>
                <w:color w:val="FF0000"/>
                <w:sz w:val="24"/>
                <w:szCs w:val="24"/>
              </w:rPr>
            </w:pPr>
            <w:r w:rsidRPr="00655440">
              <w:rPr>
                <w:rFonts w:ascii="Arial" w:hAnsi="Arial" w:cs="Arial"/>
                <w:sz w:val="24"/>
                <w:szCs w:val="24"/>
              </w:rPr>
              <w:t>1</w:t>
            </w:r>
          </w:p>
        </w:tc>
        <w:tc>
          <w:tcPr>
            <w:tcW w:w="1382" w:type="dxa"/>
          </w:tcPr>
          <w:p w14:paraId="1ED2F8DB" w14:textId="77777777" w:rsidR="007251E2" w:rsidRPr="008A6C4D" w:rsidRDefault="007251E2" w:rsidP="007251E2">
            <w:pPr>
              <w:jc w:val="center"/>
              <w:rPr>
                <w:rFonts w:ascii="Arial" w:hAnsi="Arial" w:cs="Arial"/>
                <w:color w:val="FF0000"/>
                <w:sz w:val="24"/>
                <w:szCs w:val="24"/>
              </w:rPr>
            </w:pPr>
          </w:p>
          <w:p w14:paraId="079669E9" w14:textId="2C4E9CA7" w:rsidR="007251E2" w:rsidRPr="008A6C4D" w:rsidRDefault="007251E2" w:rsidP="007251E2">
            <w:pPr>
              <w:jc w:val="center"/>
              <w:rPr>
                <w:rFonts w:ascii="Arial" w:hAnsi="Arial" w:cs="Arial"/>
                <w:color w:val="FF0000"/>
                <w:sz w:val="24"/>
                <w:szCs w:val="24"/>
              </w:rPr>
            </w:pPr>
            <w:r w:rsidRPr="00016796">
              <w:rPr>
                <w:rFonts w:ascii="Arial" w:hAnsi="Arial" w:cs="Arial"/>
                <w:color w:val="000000" w:themeColor="text1"/>
                <w:sz w:val="24"/>
                <w:szCs w:val="24"/>
              </w:rPr>
              <w:t>2</w:t>
            </w:r>
          </w:p>
        </w:tc>
        <w:tc>
          <w:tcPr>
            <w:tcW w:w="1382" w:type="dxa"/>
          </w:tcPr>
          <w:p w14:paraId="7257B105" w14:textId="77777777" w:rsidR="007251E2" w:rsidRDefault="007251E2" w:rsidP="007251E2">
            <w:pPr>
              <w:jc w:val="center"/>
              <w:rPr>
                <w:rFonts w:ascii="Arial" w:hAnsi="Arial" w:cs="Arial"/>
                <w:color w:val="FF0000"/>
                <w:sz w:val="24"/>
                <w:szCs w:val="24"/>
              </w:rPr>
            </w:pPr>
          </w:p>
          <w:p w14:paraId="74C56BE3" w14:textId="7E7E61BD" w:rsidR="007251E2" w:rsidRPr="008A6C4D" w:rsidRDefault="007251E2" w:rsidP="007251E2">
            <w:pPr>
              <w:jc w:val="center"/>
              <w:rPr>
                <w:rFonts w:ascii="Arial" w:hAnsi="Arial" w:cs="Arial"/>
                <w:color w:val="FF0000"/>
                <w:sz w:val="24"/>
                <w:szCs w:val="24"/>
              </w:rPr>
            </w:pPr>
            <w:r w:rsidRPr="001459CA">
              <w:rPr>
                <w:rFonts w:ascii="Arial" w:hAnsi="Arial" w:cs="Arial"/>
                <w:color w:val="000000" w:themeColor="text1"/>
                <w:sz w:val="24"/>
                <w:szCs w:val="24"/>
              </w:rPr>
              <w:t>4</w:t>
            </w:r>
          </w:p>
        </w:tc>
      </w:tr>
      <w:tr w:rsidR="007251E2" w:rsidRPr="00C35861" w14:paraId="675C59DD" w14:textId="54C8D342" w:rsidTr="00AC4F2C">
        <w:trPr>
          <w:jc w:val="center"/>
        </w:trPr>
        <w:tc>
          <w:tcPr>
            <w:tcW w:w="3823" w:type="dxa"/>
          </w:tcPr>
          <w:p w14:paraId="3E4746B2" w14:textId="1AF48397" w:rsidR="007251E2" w:rsidRPr="00237F6E" w:rsidRDefault="007251E2" w:rsidP="007251E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for which an </w:t>
            </w:r>
            <w:proofErr w:type="gramStart"/>
            <w:r w:rsidRPr="00237F6E">
              <w:rPr>
                <w:rFonts w:ascii="Arial" w:hAnsi="Arial" w:cs="Arial"/>
                <w:color w:val="000000" w:themeColor="text1"/>
                <w:sz w:val="24"/>
                <w:szCs w:val="24"/>
              </w:rPr>
              <w:t>After Action</w:t>
            </w:r>
            <w:proofErr w:type="gramEnd"/>
            <w:r w:rsidRPr="00237F6E">
              <w:rPr>
                <w:rFonts w:ascii="Arial" w:hAnsi="Arial" w:cs="Arial"/>
                <w:color w:val="000000" w:themeColor="text1"/>
                <w:sz w:val="24"/>
                <w:szCs w:val="24"/>
              </w:rPr>
              <w:t xml:space="preserve"> Review was completed</w:t>
            </w:r>
          </w:p>
        </w:tc>
        <w:tc>
          <w:tcPr>
            <w:tcW w:w="1418" w:type="dxa"/>
            <w:vAlign w:val="center"/>
          </w:tcPr>
          <w:p w14:paraId="32BC0133" w14:textId="5DD474B3" w:rsidR="007251E2" w:rsidRPr="00FB46D2" w:rsidRDefault="007251E2" w:rsidP="007251E2">
            <w:pPr>
              <w:jc w:val="center"/>
              <w:rPr>
                <w:rFonts w:ascii="Arial" w:hAnsi="Arial" w:cs="Arial"/>
                <w:sz w:val="24"/>
                <w:szCs w:val="24"/>
              </w:rPr>
            </w:pPr>
            <w:r w:rsidRPr="00B75454">
              <w:rPr>
                <w:rFonts w:ascii="Arial" w:hAnsi="Arial" w:cs="Arial"/>
                <w:sz w:val="24"/>
                <w:szCs w:val="24"/>
              </w:rPr>
              <w:t>0</w:t>
            </w:r>
          </w:p>
        </w:tc>
        <w:tc>
          <w:tcPr>
            <w:tcW w:w="1286" w:type="dxa"/>
            <w:vAlign w:val="center"/>
          </w:tcPr>
          <w:p w14:paraId="7EFFE522" w14:textId="22A1A54D" w:rsidR="007251E2" w:rsidRPr="00FB46D2" w:rsidRDefault="007251E2" w:rsidP="007251E2">
            <w:pPr>
              <w:jc w:val="center"/>
              <w:rPr>
                <w:rFonts w:ascii="Arial" w:hAnsi="Arial" w:cs="Arial"/>
                <w:sz w:val="24"/>
                <w:szCs w:val="24"/>
              </w:rPr>
            </w:pPr>
            <w:r w:rsidRPr="00FB46D2">
              <w:rPr>
                <w:rFonts w:ascii="Arial" w:hAnsi="Arial" w:cs="Arial"/>
                <w:sz w:val="24"/>
                <w:szCs w:val="24"/>
              </w:rPr>
              <w:t>0</w:t>
            </w:r>
          </w:p>
        </w:tc>
        <w:tc>
          <w:tcPr>
            <w:tcW w:w="1382" w:type="dxa"/>
          </w:tcPr>
          <w:p w14:paraId="641C5547" w14:textId="77777777" w:rsidR="007251E2" w:rsidRPr="00CB3FC4" w:rsidRDefault="007251E2" w:rsidP="007251E2">
            <w:pPr>
              <w:jc w:val="center"/>
              <w:rPr>
                <w:rFonts w:ascii="Arial" w:hAnsi="Arial" w:cs="Arial"/>
                <w:color w:val="FF0000"/>
                <w:sz w:val="24"/>
                <w:szCs w:val="24"/>
              </w:rPr>
            </w:pPr>
          </w:p>
          <w:p w14:paraId="67E2392B" w14:textId="11556929" w:rsidR="007251E2" w:rsidRPr="00CB3FC4" w:rsidRDefault="007251E2" w:rsidP="007251E2">
            <w:pPr>
              <w:jc w:val="center"/>
              <w:rPr>
                <w:rFonts w:ascii="Arial" w:hAnsi="Arial" w:cs="Arial"/>
                <w:color w:val="FF0000"/>
                <w:sz w:val="24"/>
                <w:szCs w:val="24"/>
              </w:rPr>
            </w:pPr>
            <w:r w:rsidRPr="00CB3FC4">
              <w:rPr>
                <w:rFonts w:ascii="Arial" w:hAnsi="Arial" w:cs="Arial"/>
                <w:sz w:val="24"/>
                <w:szCs w:val="24"/>
              </w:rPr>
              <w:t>0</w:t>
            </w:r>
          </w:p>
        </w:tc>
        <w:tc>
          <w:tcPr>
            <w:tcW w:w="1382" w:type="dxa"/>
          </w:tcPr>
          <w:p w14:paraId="21CDC03E" w14:textId="77777777" w:rsidR="007251E2" w:rsidRPr="008A6C4D" w:rsidRDefault="007251E2" w:rsidP="007251E2">
            <w:pPr>
              <w:jc w:val="center"/>
              <w:rPr>
                <w:rFonts w:ascii="Arial" w:hAnsi="Arial" w:cs="Arial"/>
                <w:color w:val="FF0000"/>
                <w:sz w:val="24"/>
                <w:szCs w:val="24"/>
              </w:rPr>
            </w:pPr>
          </w:p>
          <w:p w14:paraId="62AC023C" w14:textId="68F305DA" w:rsidR="007251E2" w:rsidRPr="008A6C4D" w:rsidRDefault="007251E2" w:rsidP="007251E2">
            <w:pPr>
              <w:jc w:val="center"/>
              <w:rPr>
                <w:rFonts w:ascii="Arial" w:hAnsi="Arial" w:cs="Arial"/>
                <w:color w:val="FF0000"/>
                <w:sz w:val="24"/>
                <w:szCs w:val="24"/>
              </w:rPr>
            </w:pPr>
            <w:r w:rsidRPr="00A96F24">
              <w:rPr>
                <w:rFonts w:ascii="Arial" w:hAnsi="Arial" w:cs="Arial"/>
                <w:sz w:val="24"/>
                <w:szCs w:val="24"/>
              </w:rPr>
              <w:t>0</w:t>
            </w:r>
          </w:p>
        </w:tc>
        <w:tc>
          <w:tcPr>
            <w:tcW w:w="1382" w:type="dxa"/>
          </w:tcPr>
          <w:p w14:paraId="2685DDAB" w14:textId="77777777" w:rsidR="007251E2" w:rsidRPr="004B3B3A" w:rsidRDefault="007251E2" w:rsidP="007251E2">
            <w:pPr>
              <w:jc w:val="center"/>
              <w:rPr>
                <w:rFonts w:ascii="Arial" w:hAnsi="Arial" w:cs="Arial"/>
                <w:sz w:val="24"/>
                <w:szCs w:val="24"/>
              </w:rPr>
            </w:pPr>
          </w:p>
          <w:p w14:paraId="375D651E" w14:textId="7895C19C" w:rsidR="007251E2" w:rsidRPr="004B3B3A" w:rsidRDefault="007251E2" w:rsidP="007251E2">
            <w:pPr>
              <w:jc w:val="center"/>
              <w:rPr>
                <w:rFonts w:ascii="Arial" w:hAnsi="Arial" w:cs="Arial"/>
                <w:sz w:val="24"/>
                <w:szCs w:val="24"/>
              </w:rPr>
            </w:pPr>
            <w:r w:rsidRPr="004B3B3A">
              <w:rPr>
                <w:rFonts w:ascii="Arial" w:hAnsi="Arial" w:cs="Arial"/>
                <w:sz w:val="24"/>
                <w:szCs w:val="24"/>
              </w:rPr>
              <w:t>0</w:t>
            </w:r>
          </w:p>
        </w:tc>
      </w:tr>
      <w:tr w:rsidR="007251E2" w:rsidRPr="00C35861" w14:paraId="72481954" w14:textId="14FCF715" w:rsidTr="00AC4F2C">
        <w:trPr>
          <w:jc w:val="center"/>
        </w:trPr>
        <w:tc>
          <w:tcPr>
            <w:tcW w:w="3823" w:type="dxa"/>
          </w:tcPr>
          <w:p w14:paraId="0A724ECD" w14:textId="3168FF90" w:rsidR="007251E2" w:rsidRPr="00F66E5E" w:rsidRDefault="007251E2" w:rsidP="007251E2">
            <w:pPr>
              <w:rPr>
                <w:rFonts w:ascii="Arial" w:hAnsi="Arial" w:cs="Arial"/>
                <w:color w:val="000000" w:themeColor="text1"/>
                <w:sz w:val="24"/>
                <w:szCs w:val="24"/>
              </w:rPr>
            </w:pPr>
            <w:r w:rsidRPr="00237F6E">
              <w:rPr>
                <w:rFonts w:ascii="Arial" w:hAnsi="Arial" w:cs="Arial"/>
                <w:color w:val="000000" w:themeColor="text1"/>
                <w:sz w:val="24"/>
                <w:szCs w:val="24"/>
              </w:rPr>
              <w:t xml:space="preserve">Number of deaths which </w:t>
            </w:r>
            <w:r>
              <w:rPr>
                <w:rFonts w:ascii="Arial" w:hAnsi="Arial" w:cs="Arial"/>
                <w:color w:val="000000" w:themeColor="text1"/>
                <w:sz w:val="24"/>
                <w:szCs w:val="24"/>
              </w:rPr>
              <w:t xml:space="preserve">were included in </w:t>
            </w:r>
            <w:r w:rsidRPr="00237F6E">
              <w:rPr>
                <w:rFonts w:ascii="Arial" w:hAnsi="Arial" w:cs="Arial"/>
                <w:color w:val="000000" w:themeColor="text1"/>
                <w:sz w:val="24"/>
                <w:szCs w:val="24"/>
              </w:rPr>
              <w:t>a</w:t>
            </w:r>
            <w:r>
              <w:rPr>
                <w:rFonts w:ascii="Arial" w:hAnsi="Arial" w:cs="Arial"/>
                <w:color w:val="000000" w:themeColor="text1"/>
                <w:sz w:val="24"/>
                <w:szCs w:val="24"/>
              </w:rPr>
              <w:t xml:space="preserve"> completed Thematic Analysis</w:t>
            </w:r>
          </w:p>
        </w:tc>
        <w:tc>
          <w:tcPr>
            <w:tcW w:w="1418" w:type="dxa"/>
          </w:tcPr>
          <w:p w14:paraId="3A8DE2A0" w14:textId="77777777" w:rsidR="007251E2" w:rsidRDefault="007251E2" w:rsidP="007251E2">
            <w:pPr>
              <w:jc w:val="center"/>
              <w:rPr>
                <w:rFonts w:ascii="Arial" w:hAnsi="Arial" w:cs="Arial"/>
                <w:color w:val="FF0000"/>
                <w:sz w:val="24"/>
                <w:szCs w:val="24"/>
              </w:rPr>
            </w:pPr>
          </w:p>
          <w:p w14:paraId="574D0861" w14:textId="703BE7AB" w:rsidR="007251E2" w:rsidRPr="00FB46D2" w:rsidRDefault="007251E2" w:rsidP="007251E2">
            <w:pPr>
              <w:jc w:val="center"/>
              <w:rPr>
                <w:rFonts w:ascii="Arial" w:hAnsi="Arial" w:cs="Arial"/>
                <w:sz w:val="24"/>
                <w:szCs w:val="24"/>
              </w:rPr>
            </w:pPr>
            <w:r w:rsidRPr="006C24E2">
              <w:rPr>
                <w:rFonts w:ascii="Arial" w:hAnsi="Arial" w:cs="Arial"/>
                <w:sz w:val="24"/>
                <w:szCs w:val="24"/>
              </w:rPr>
              <w:t>10</w:t>
            </w:r>
          </w:p>
        </w:tc>
        <w:tc>
          <w:tcPr>
            <w:tcW w:w="1286" w:type="dxa"/>
          </w:tcPr>
          <w:p w14:paraId="645FE9A3" w14:textId="7638CE7F" w:rsidR="007251E2" w:rsidRPr="00FB46D2" w:rsidRDefault="007251E2" w:rsidP="007251E2">
            <w:pPr>
              <w:jc w:val="center"/>
              <w:rPr>
                <w:rFonts w:ascii="Arial" w:hAnsi="Arial" w:cs="Arial"/>
                <w:sz w:val="24"/>
                <w:szCs w:val="24"/>
              </w:rPr>
            </w:pPr>
          </w:p>
          <w:p w14:paraId="1E7A1BC0" w14:textId="5BDA17B7" w:rsidR="007251E2" w:rsidRPr="00FB46D2" w:rsidRDefault="007251E2" w:rsidP="007251E2">
            <w:pPr>
              <w:jc w:val="center"/>
              <w:rPr>
                <w:rFonts w:ascii="Arial" w:hAnsi="Arial" w:cs="Arial"/>
                <w:sz w:val="24"/>
                <w:szCs w:val="24"/>
              </w:rPr>
            </w:pPr>
            <w:r w:rsidRPr="00FB46D2">
              <w:rPr>
                <w:rFonts w:ascii="Arial" w:hAnsi="Arial" w:cs="Arial"/>
                <w:sz w:val="24"/>
                <w:szCs w:val="24"/>
              </w:rPr>
              <w:t>0</w:t>
            </w:r>
          </w:p>
        </w:tc>
        <w:tc>
          <w:tcPr>
            <w:tcW w:w="1382" w:type="dxa"/>
          </w:tcPr>
          <w:p w14:paraId="2D97DB91" w14:textId="77777777" w:rsidR="007251E2" w:rsidRPr="00CB3FC4" w:rsidRDefault="007251E2" w:rsidP="007251E2">
            <w:pPr>
              <w:jc w:val="center"/>
              <w:rPr>
                <w:rFonts w:ascii="Arial" w:hAnsi="Arial" w:cs="Arial"/>
                <w:color w:val="FF0000"/>
                <w:sz w:val="24"/>
                <w:szCs w:val="24"/>
              </w:rPr>
            </w:pPr>
          </w:p>
          <w:p w14:paraId="6C3E0649" w14:textId="402AEEE5" w:rsidR="007251E2" w:rsidRPr="00CB3FC4" w:rsidRDefault="007251E2" w:rsidP="007251E2">
            <w:pPr>
              <w:jc w:val="center"/>
              <w:rPr>
                <w:rFonts w:ascii="Arial" w:hAnsi="Arial" w:cs="Arial"/>
                <w:color w:val="FF0000"/>
                <w:sz w:val="24"/>
                <w:szCs w:val="24"/>
              </w:rPr>
            </w:pPr>
            <w:r w:rsidRPr="00655440">
              <w:rPr>
                <w:rFonts w:ascii="Arial" w:hAnsi="Arial" w:cs="Arial"/>
                <w:sz w:val="24"/>
                <w:szCs w:val="24"/>
              </w:rPr>
              <w:t>4</w:t>
            </w:r>
          </w:p>
        </w:tc>
        <w:tc>
          <w:tcPr>
            <w:tcW w:w="1382" w:type="dxa"/>
          </w:tcPr>
          <w:p w14:paraId="3028E97A" w14:textId="77777777" w:rsidR="007251E2" w:rsidRPr="008A6C4D" w:rsidRDefault="007251E2" w:rsidP="007251E2">
            <w:pPr>
              <w:jc w:val="center"/>
              <w:rPr>
                <w:rFonts w:ascii="Arial" w:hAnsi="Arial" w:cs="Arial"/>
                <w:color w:val="FF0000"/>
                <w:sz w:val="24"/>
                <w:szCs w:val="24"/>
              </w:rPr>
            </w:pPr>
          </w:p>
          <w:p w14:paraId="296E135F" w14:textId="386B88EC" w:rsidR="007251E2" w:rsidRPr="008A6C4D" w:rsidRDefault="007251E2" w:rsidP="007251E2">
            <w:pPr>
              <w:jc w:val="center"/>
              <w:rPr>
                <w:rFonts w:ascii="Arial" w:hAnsi="Arial" w:cs="Arial"/>
                <w:color w:val="FF0000"/>
                <w:sz w:val="24"/>
                <w:szCs w:val="24"/>
              </w:rPr>
            </w:pPr>
            <w:r w:rsidRPr="00A96F24">
              <w:rPr>
                <w:rFonts w:ascii="Arial" w:hAnsi="Arial" w:cs="Arial"/>
                <w:sz w:val="24"/>
                <w:szCs w:val="24"/>
              </w:rPr>
              <w:t>0</w:t>
            </w:r>
          </w:p>
        </w:tc>
        <w:tc>
          <w:tcPr>
            <w:tcW w:w="1382" w:type="dxa"/>
          </w:tcPr>
          <w:p w14:paraId="16F0CBFE" w14:textId="77777777" w:rsidR="007251E2" w:rsidRPr="004B3B3A" w:rsidRDefault="007251E2" w:rsidP="007251E2">
            <w:pPr>
              <w:jc w:val="center"/>
              <w:rPr>
                <w:rFonts w:ascii="Arial" w:hAnsi="Arial" w:cs="Arial"/>
                <w:sz w:val="24"/>
                <w:szCs w:val="24"/>
              </w:rPr>
            </w:pPr>
          </w:p>
          <w:p w14:paraId="479FA989" w14:textId="2ECE96C2" w:rsidR="007251E2" w:rsidRPr="004B3B3A" w:rsidRDefault="007251E2" w:rsidP="007251E2">
            <w:pPr>
              <w:jc w:val="center"/>
              <w:rPr>
                <w:rFonts w:ascii="Arial" w:hAnsi="Arial" w:cs="Arial"/>
                <w:sz w:val="24"/>
                <w:szCs w:val="24"/>
              </w:rPr>
            </w:pPr>
            <w:r w:rsidRPr="004B3B3A">
              <w:rPr>
                <w:rFonts w:ascii="Arial" w:hAnsi="Arial" w:cs="Arial"/>
                <w:sz w:val="24"/>
                <w:szCs w:val="24"/>
              </w:rPr>
              <w:t>0</w:t>
            </w:r>
          </w:p>
        </w:tc>
      </w:tr>
      <w:tr w:rsidR="007251E2" w:rsidRPr="00C35861" w14:paraId="1953C8B9" w14:textId="5337BC7E" w:rsidTr="00AC4F2C">
        <w:trPr>
          <w:jc w:val="center"/>
        </w:trPr>
        <w:tc>
          <w:tcPr>
            <w:tcW w:w="3823" w:type="dxa"/>
          </w:tcPr>
          <w:p w14:paraId="1B6F607E" w14:textId="77777777" w:rsidR="007251E2" w:rsidRDefault="007251E2" w:rsidP="007251E2">
            <w:pPr>
              <w:rPr>
                <w:rFonts w:ascii="Arial" w:hAnsi="Arial" w:cs="Arial"/>
                <w:color w:val="000000" w:themeColor="text1"/>
                <w:sz w:val="24"/>
                <w:szCs w:val="24"/>
              </w:rPr>
            </w:pPr>
            <w:r w:rsidRPr="00F66E5E">
              <w:rPr>
                <w:rFonts w:ascii="Arial" w:hAnsi="Arial" w:cs="Arial"/>
                <w:color w:val="000000" w:themeColor="text1"/>
                <w:sz w:val="24"/>
                <w:szCs w:val="24"/>
              </w:rPr>
              <w:t>Number of deaths for which a PSII was completed</w:t>
            </w:r>
          </w:p>
          <w:p w14:paraId="53008E92" w14:textId="77777777" w:rsidR="007251E2" w:rsidRPr="00F66E5E" w:rsidRDefault="007251E2" w:rsidP="007251E2">
            <w:pPr>
              <w:rPr>
                <w:rFonts w:ascii="Arial" w:hAnsi="Arial" w:cs="Arial"/>
                <w:color w:val="000000" w:themeColor="text1"/>
                <w:sz w:val="24"/>
                <w:szCs w:val="24"/>
              </w:rPr>
            </w:pPr>
          </w:p>
        </w:tc>
        <w:tc>
          <w:tcPr>
            <w:tcW w:w="1418" w:type="dxa"/>
          </w:tcPr>
          <w:p w14:paraId="45337944" w14:textId="77777777" w:rsidR="007251E2" w:rsidRDefault="007251E2" w:rsidP="007251E2">
            <w:pPr>
              <w:jc w:val="center"/>
              <w:rPr>
                <w:rFonts w:ascii="Arial" w:hAnsi="Arial" w:cs="Arial"/>
                <w:color w:val="FF0000"/>
                <w:sz w:val="24"/>
                <w:szCs w:val="24"/>
              </w:rPr>
            </w:pPr>
          </w:p>
          <w:p w14:paraId="62C00024" w14:textId="77777777" w:rsidR="007251E2" w:rsidRPr="00B75454" w:rsidRDefault="007251E2" w:rsidP="007251E2">
            <w:pPr>
              <w:jc w:val="center"/>
              <w:rPr>
                <w:rFonts w:ascii="Arial" w:hAnsi="Arial" w:cs="Arial"/>
                <w:sz w:val="24"/>
                <w:szCs w:val="24"/>
              </w:rPr>
            </w:pPr>
            <w:r w:rsidRPr="00B75454">
              <w:rPr>
                <w:rFonts w:ascii="Arial" w:hAnsi="Arial" w:cs="Arial"/>
                <w:sz w:val="24"/>
                <w:szCs w:val="24"/>
              </w:rPr>
              <w:t>6</w:t>
            </w:r>
          </w:p>
          <w:p w14:paraId="46DD6CF2" w14:textId="77777777" w:rsidR="007251E2" w:rsidRPr="00FB46D2" w:rsidRDefault="007251E2" w:rsidP="007251E2">
            <w:pPr>
              <w:jc w:val="center"/>
              <w:rPr>
                <w:rFonts w:ascii="Arial" w:hAnsi="Arial" w:cs="Arial"/>
                <w:sz w:val="24"/>
                <w:szCs w:val="24"/>
              </w:rPr>
            </w:pPr>
          </w:p>
        </w:tc>
        <w:tc>
          <w:tcPr>
            <w:tcW w:w="1286" w:type="dxa"/>
          </w:tcPr>
          <w:p w14:paraId="557FF775" w14:textId="222FE887" w:rsidR="007251E2" w:rsidRPr="00FB46D2" w:rsidRDefault="007251E2" w:rsidP="007251E2">
            <w:pPr>
              <w:jc w:val="center"/>
              <w:rPr>
                <w:rFonts w:ascii="Arial" w:hAnsi="Arial" w:cs="Arial"/>
                <w:sz w:val="24"/>
                <w:szCs w:val="24"/>
              </w:rPr>
            </w:pPr>
          </w:p>
          <w:p w14:paraId="5A0A4951" w14:textId="3EC49553" w:rsidR="007251E2" w:rsidRPr="00FB46D2" w:rsidRDefault="007251E2" w:rsidP="007251E2">
            <w:pPr>
              <w:jc w:val="center"/>
              <w:rPr>
                <w:rFonts w:ascii="Arial" w:hAnsi="Arial" w:cs="Arial"/>
                <w:sz w:val="24"/>
                <w:szCs w:val="24"/>
              </w:rPr>
            </w:pPr>
            <w:r w:rsidRPr="00FB46D2">
              <w:rPr>
                <w:rFonts w:ascii="Arial" w:hAnsi="Arial" w:cs="Arial"/>
                <w:sz w:val="24"/>
                <w:szCs w:val="24"/>
              </w:rPr>
              <w:t>1</w:t>
            </w:r>
          </w:p>
        </w:tc>
        <w:tc>
          <w:tcPr>
            <w:tcW w:w="1382" w:type="dxa"/>
          </w:tcPr>
          <w:p w14:paraId="14C173E2" w14:textId="77777777" w:rsidR="007251E2" w:rsidRPr="00CB3FC4" w:rsidRDefault="007251E2" w:rsidP="007251E2">
            <w:pPr>
              <w:jc w:val="center"/>
              <w:rPr>
                <w:rFonts w:ascii="Arial" w:hAnsi="Arial" w:cs="Arial"/>
                <w:color w:val="FF0000"/>
                <w:sz w:val="24"/>
                <w:szCs w:val="24"/>
              </w:rPr>
            </w:pPr>
          </w:p>
          <w:p w14:paraId="3CE9E703" w14:textId="2C26E53A" w:rsidR="007251E2" w:rsidRPr="00CB3FC4" w:rsidRDefault="007251E2" w:rsidP="007251E2">
            <w:pPr>
              <w:jc w:val="center"/>
              <w:rPr>
                <w:rFonts w:ascii="Arial" w:hAnsi="Arial" w:cs="Arial"/>
                <w:color w:val="FF0000"/>
                <w:sz w:val="24"/>
                <w:szCs w:val="24"/>
              </w:rPr>
            </w:pPr>
            <w:r w:rsidRPr="00CB3FC4">
              <w:rPr>
                <w:rFonts w:ascii="Arial" w:hAnsi="Arial" w:cs="Arial"/>
                <w:sz w:val="24"/>
                <w:szCs w:val="24"/>
              </w:rPr>
              <w:t>6</w:t>
            </w:r>
          </w:p>
        </w:tc>
        <w:tc>
          <w:tcPr>
            <w:tcW w:w="1382" w:type="dxa"/>
          </w:tcPr>
          <w:p w14:paraId="610235BF" w14:textId="77777777" w:rsidR="007251E2" w:rsidRPr="008A6C4D" w:rsidRDefault="007251E2" w:rsidP="007251E2">
            <w:pPr>
              <w:jc w:val="center"/>
              <w:rPr>
                <w:rFonts w:ascii="Arial" w:hAnsi="Arial" w:cs="Arial"/>
                <w:color w:val="FF0000"/>
                <w:sz w:val="24"/>
                <w:szCs w:val="24"/>
              </w:rPr>
            </w:pPr>
          </w:p>
          <w:p w14:paraId="71EE3443" w14:textId="5C689D56" w:rsidR="007251E2" w:rsidRPr="008A6C4D" w:rsidRDefault="007251E2" w:rsidP="007251E2">
            <w:pPr>
              <w:jc w:val="center"/>
              <w:rPr>
                <w:rFonts w:ascii="Arial" w:hAnsi="Arial" w:cs="Arial"/>
                <w:color w:val="FF0000"/>
                <w:sz w:val="24"/>
                <w:szCs w:val="24"/>
              </w:rPr>
            </w:pPr>
            <w:r w:rsidRPr="00930BB1">
              <w:rPr>
                <w:rFonts w:ascii="Arial" w:hAnsi="Arial" w:cs="Arial"/>
                <w:sz w:val="24"/>
                <w:szCs w:val="24"/>
              </w:rPr>
              <w:t>4</w:t>
            </w:r>
          </w:p>
        </w:tc>
        <w:tc>
          <w:tcPr>
            <w:tcW w:w="1382" w:type="dxa"/>
          </w:tcPr>
          <w:p w14:paraId="5D31666E" w14:textId="77777777" w:rsidR="007251E2" w:rsidRDefault="007251E2" w:rsidP="007251E2">
            <w:pPr>
              <w:jc w:val="center"/>
              <w:rPr>
                <w:rFonts w:ascii="Arial" w:hAnsi="Arial" w:cs="Arial"/>
                <w:color w:val="FF0000"/>
                <w:sz w:val="24"/>
                <w:szCs w:val="24"/>
              </w:rPr>
            </w:pPr>
          </w:p>
          <w:p w14:paraId="1C4711CE" w14:textId="2E5BFA17" w:rsidR="007251E2" w:rsidRPr="008A6C4D" w:rsidRDefault="007251E2" w:rsidP="007251E2">
            <w:pPr>
              <w:jc w:val="center"/>
              <w:rPr>
                <w:rFonts w:ascii="Arial" w:hAnsi="Arial" w:cs="Arial"/>
                <w:color w:val="FF0000"/>
                <w:sz w:val="24"/>
                <w:szCs w:val="24"/>
              </w:rPr>
            </w:pPr>
            <w:r w:rsidRPr="001459CA">
              <w:rPr>
                <w:rFonts w:ascii="Arial" w:hAnsi="Arial" w:cs="Arial"/>
                <w:color w:val="000000" w:themeColor="text1"/>
                <w:sz w:val="24"/>
                <w:szCs w:val="24"/>
              </w:rPr>
              <w:t>4</w:t>
            </w:r>
          </w:p>
        </w:tc>
      </w:tr>
      <w:tr w:rsidR="007251E2" w:rsidRPr="00C35861" w14:paraId="5151B42D" w14:textId="6D82D21E" w:rsidTr="00AC4F2C">
        <w:trPr>
          <w:jc w:val="center"/>
        </w:trPr>
        <w:tc>
          <w:tcPr>
            <w:tcW w:w="3823" w:type="dxa"/>
          </w:tcPr>
          <w:p w14:paraId="4B3FB4BE" w14:textId="6F82F945" w:rsidR="007251E2" w:rsidRPr="00FB46D2" w:rsidRDefault="007251E2" w:rsidP="007251E2">
            <w:pPr>
              <w:rPr>
                <w:rFonts w:ascii="Arial" w:hAnsi="Arial" w:cs="Arial"/>
                <w:color w:val="000000"/>
                <w:sz w:val="24"/>
                <w:szCs w:val="24"/>
              </w:rPr>
            </w:pPr>
            <w:r w:rsidRPr="00FB46D2">
              <w:rPr>
                <w:rFonts w:ascii="Arial" w:hAnsi="Arial" w:cs="Arial"/>
                <w:color w:val="000000"/>
                <w:sz w:val="24"/>
                <w:szCs w:val="24"/>
              </w:rPr>
              <w:t xml:space="preserve">Number of deaths of persons with learning disabilities or Autism, referred for local </w:t>
            </w:r>
            <w:proofErr w:type="spellStart"/>
            <w:r w:rsidRPr="00FB46D2">
              <w:rPr>
                <w:rFonts w:ascii="Arial" w:hAnsi="Arial" w:cs="Arial"/>
                <w:color w:val="000000"/>
                <w:sz w:val="24"/>
                <w:szCs w:val="24"/>
              </w:rPr>
              <w:t>LeDeR</w:t>
            </w:r>
            <w:proofErr w:type="spellEnd"/>
            <w:r w:rsidRPr="00FB46D2">
              <w:rPr>
                <w:rFonts w:ascii="Arial" w:hAnsi="Arial" w:cs="Arial"/>
                <w:color w:val="000000"/>
                <w:sz w:val="24"/>
                <w:szCs w:val="24"/>
              </w:rPr>
              <w:t xml:space="preserve"> review.</w:t>
            </w:r>
          </w:p>
        </w:tc>
        <w:tc>
          <w:tcPr>
            <w:tcW w:w="1418" w:type="dxa"/>
            <w:vAlign w:val="center"/>
          </w:tcPr>
          <w:p w14:paraId="3BB45CE4" w14:textId="7AD24821" w:rsidR="007251E2" w:rsidRPr="00FB46D2" w:rsidRDefault="007251E2" w:rsidP="007251E2">
            <w:pPr>
              <w:jc w:val="center"/>
              <w:rPr>
                <w:rFonts w:ascii="Arial" w:hAnsi="Arial" w:cs="Arial"/>
                <w:sz w:val="24"/>
                <w:szCs w:val="24"/>
              </w:rPr>
            </w:pPr>
            <w:r w:rsidRPr="00FB46D2">
              <w:rPr>
                <w:rFonts w:ascii="Arial" w:hAnsi="Arial" w:cs="Arial"/>
                <w:sz w:val="24"/>
                <w:szCs w:val="24"/>
              </w:rPr>
              <w:t>9</w:t>
            </w:r>
          </w:p>
        </w:tc>
        <w:tc>
          <w:tcPr>
            <w:tcW w:w="1286" w:type="dxa"/>
            <w:vAlign w:val="center"/>
          </w:tcPr>
          <w:p w14:paraId="3A224F87" w14:textId="5F891F38" w:rsidR="007251E2" w:rsidRPr="00FB46D2" w:rsidRDefault="007251E2" w:rsidP="007251E2">
            <w:pPr>
              <w:jc w:val="center"/>
              <w:rPr>
                <w:rFonts w:ascii="Arial" w:hAnsi="Arial" w:cs="Arial"/>
                <w:color w:val="FF0000"/>
                <w:sz w:val="24"/>
                <w:szCs w:val="24"/>
              </w:rPr>
            </w:pPr>
            <w:r w:rsidRPr="00FB46D2">
              <w:rPr>
                <w:rFonts w:ascii="Arial" w:hAnsi="Arial" w:cs="Arial"/>
                <w:sz w:val="24"/>
                <w:szCs w:val="24"/>
              </w:rPr>
              <w:t>9</w:t>
            </w:r>
          </w:p>
        </w:tc>
        <w:tc>
          <w:tcPr>
            <w:tcW w:w="1382" w:type="dxa"/>
            <w:vAlign w:val="center"/>
          </w:tcPr>
          <w:p w14:paraId="44E8D259" w14:textId="3F461D96" w:rsidR="007251E2" w:rsidRPr="005E4CF0" w:rsidRDefault="007251E2" w:rsidP="007251E2">
            <w:pPr>
              <w:jc w:val="center"/>
              <w:rPr>
                <w:rFonts w:ascii="Arial" w:hAnsi="Arial" w:cs="Arial"/>
                <w:color w:val="FF0000"/>
                <w:sz w:val="24"/>
                <w:szCs w:val="24"/>
              </w:rPr>
            </w:pPr>
            <w:r w:rsidRPr="00A97204">
              <w:rPr>
                <w:rFonts w:ascii="Arial" w:hAnsi="Arial" w:cs="Arial"/>
                <w:sz w:val="24"/>
                <w:szCs w:val="24"/>
              </w:rPr>
              <w:t>3</w:t>
            </w:r>
          </w:p>
        </w:tc>
        <w:tc>
          <w:tcPr>
            <w:tcW w:w="1382" w:type="dxa"/>
          </w:tcPr>
          <w:p w14:paraId="15618AB5" w14:textId="77777777" w:rsidR="007251E2" w:rsidRPr="008A6C4D" w:rsidRDefault="007251E2" w:rsidP="007251E2">
            <w:pPr>
              <w:jc w:val="center"/>
              <w:rPr>
                <w:rFonts w:ascii="Arial" w:hAnsi="Arial" w:cs="Arial"/>
                <w:color w:val="FF0000"/>
                <w:sz w:val="24"/>
                <w:szCs w:val="24"/>
              </w:rPr>
            </w:pPr>
          </w:p>
          <w:p w14:paraId="7708C30A" w14:textId="4EC8E48A" w:rsidR="007251E2" w:rsidRPr="008A6C4D" w:rsidRDefault="007251E2" w:rsidP="007251E2">
            <w:pPr>
              <w:jc w:val="center"/>
              <w:rPr>
                <w:rFonts w:ascii="Arial" w:hAnsi="Arial" w:cs="Arial"/>
                <w:color w:val="FF0000"/>
                <w:sz w:val="24"/>
                <w:szCs w:val="24"/>
              </w:rPr>
            </w:pPr>
            <w:r w:rsidRPr="00562A06">
              <w:rPr>
                <w:rFonts w:ascii="Arial" w:hAnsi="Arial" w:cs="Arial"/>
                <w:sz w:val="24"/>
                <w:szCs w:val="24"/>
              </w:rPr>
              <w:t>4</w:t>
            </w:r>
          </w:p>
        </w:tc>
        <w:tc>
          <w:tcPr>
            <w:tcW w:w="1382" w:type="dxa"/>
          </w:tcPr>
          <w:p w14:paraId="7BB7C8C5" w14:textId="77777777" w:rsidR="007251E2" w:rsidRDefault="007251E2" w:rsidP="007251E2">
            <w:pPr>
              <w:jc w:val="center"/>
              <w:rPr>
                <w:rFonts w:ascii="Arial" w:hAnsi="Arial" w:cs="Arial"/>
                <w:color w:val="FF0000"/>
                <w:sz w:val="24"/>
                <w:szCs w:val="24"/>
              </w:rPr>
            </w:pPr>
          </w:p>
          <w:p w14:paraId="4EC3B146" w14:textId="2FACD15F" w:rsidR="007251E2" w:rsidRPr="008A6C4D" w:rsidRDefault="007251E2" w:rsidP="007251E2">
            <w:pPr>
              <w:jc w:val="center"/>
              <w:rPr>
                <w:rFonts w:ascii="Arial" w:hAnsi="Arial" w:cs="Arial"/>
                <w:color w:val="FF0000"/>
                <w:sz w:val="24"/>
                <w:szCs w:val="24"/>
              </w:rPr>
            </w:pPr>
            <w:r w:rsidRPr="0043546B">
              <w:rPr>
                <w:rFonts w:ascii="Arial" w:hAnsi="Arial" w:cs="Arial"/>
                <w:sz w:val="24"/>
                <w:szCs w:val="24"/>
              </w:rPr>
              <w:t>4</w:t>
            </w:r>
          </w:p>
        </w:tc>
      </w:tr>
    </w:tbl>
    <w:p w14:paraId="3B77AD4B" w14:textId="77777777" w:rsidR="0051394C" w:rsidRDefault="0051394C" w:rsidP="00F66E5E">
      <w:pPr>
        <w:rPr>
          <w:rFonts w:ascii="Arial" w:hAnsi="Arial" w:cs="Arial"/>
          <w:iCs/>
          <w:color w:val="000000" w:themeColor="text1"/>
          <w:sz w:val="24"/>
          <w:szCs w:val="24"/>
          <w:lang w:eastAsia="en-GB"/>
        </w:rPr>
      </w:pPr>
    </w:p>
    <w:p w14:paraId="352A134C" w14:textId="4E7D6425" w:rsidR="00F66E5E" w:rsidRPr="00120AB9" w:rsidRDefault="00F66E5E" w:rsidP="00F66E5E">
      <w:pPr>
        <w:rPr>
          <w:rFonts w:ascii="Arial" w:hAnsi="Arial" w:cs="Arial"/>
          <w:iCs/>
          <w:color w:val="000000" w:themeColor="text1"/>
          <w:sz w:val="24"/>
          <w:szCs w:val="24"/>
          <w:lang w:eastAsia="en-GB"/>
        </w:rPr>
      </w:pPr>
      <w:r w:rsidRPr="00120AB9">
        <w:rPr>
          <w:rFonts w:ascii="Arial" w:hAnsi="Arial" w:cs="Arial"/>
          <w:iCs/>
          <w:color w:val="000000" w:themeColor="text1"/>
          <w:sz w:val="24"/>
          <w:szCs w:val="24"/>
          <w:lang w:eastAsia="en-GB"/>
        </w:rPr>
        <w:lastRenderedPageBreak/>
        <w:t>Please note:</w:t>
      </w:r>
    </w:p>
    <w:p w14:paraId="1B0BF41F" w14:textId="04819CC7" w:rsidR="00F66E5E" w:rsidRDefault="00930BB1" w:rsidP="0CF1AE7A">
      <w:pPr>
        <w:rPr>
          <w:rFonts w:ascii="Arial" w:hAnsi="Arial" w:cs="Arial"/>
          <w:sz w:val="24"/>
          <w:szCs w:val="24"/>
          <w:lang w:eastAsia="en-GB"/>
        </w:rPr>
      </w:pPr>
      <w:r w:rsidRPr="0CF1AE7A">
        <w:rPr>
          <w:rFonts w:ascii="Arial" w:hAnsi="Arial" w:cs="Arial"/>
          <w:b/>
          <w:bCs/>
          <w:color w:val="000000" w:themeColor="text1"/>
          <w:sz w:val="24"/>
          <w:szCs w:val="24"/>
          <w:lang w:eastAsia="en-GB"/>
        </w:rPr>
        <w:t>4</w:t>
      </w:r>
      <w:r w:rsidR="00F66E5E" w:rsidRPr="0CF1AE7A">
        <w:rPr>
          <w:rFonts w:ascii="Arial" w:hAnsi="Arial" w:cs="Arial"/>
          <w:color w:val="000000" w:themeColor="text1"/>
          <w:sz w:val="24"/>
          <w:szCs w:val="24"/>
          <w:lang w:eastAsia="en-GB"/>
        </w:rPr>
        <w:t xml:space="preserve"> </w:t>
      </w:r>
      <w:r w:rsidR="00F66E5E" w:rsidRPr="0CF1AE7A">
        <w:rPr>
          <w:rFonts w:ascii="Arial" w:hAnsi="Arial" w:cs="Arial"/>
          <w:b/>
          <w:bCs/>
          <w:color w:val="000000" w:themeColor="text1"/>
          <w:sz w:val="24"/>
          <w:szCs w:val="24"/>
          <w:lang w:eastAsia="en-GB"/>
        </w:rPr>
        <w:t>PSII</w:t>
      </w:r>
      <w:r w:rsidR="00F66E5E" w:rsidRPr="0CF1AE7A">
        <w:rPr>
          <w:rFonts w:ascii="Arial" w:hAnsi="Arial" w:cs="Arial"/>
          <w:color w:val="000000" w:themeColor="text1"/>
          <w:sz w:val="24"/>
          <w:szCs w:val="24"/>
          <w:lang w:eastAsia="en-GB"/>
        </w:rPr>
        <w:t xml:space="preserve"> </w:t>
      </w:r>
      <w:r w:rsidR="00F66E5E" w:rsidRPr="0CF1AE7A">
        <w:rPr>
          <w:rFonts w:ascii="Arial" w:hAnsi="Arial" w:cs="Arial"/>
          <w:sz w:val="24"/>
          <w:szCs w:val="24"/>
          <w:lang w:eastAsia="en-GB"/>
        </w:rPr>
        <w:t>investigation</w:t>
      </w:r>
      <w:r w:rsidR="00F556BF" w:rsidRPr="0CF1AE7A">
        <w:rPr>
          <w:rFonts w:ascii="Arial" w:hAnsi="Arial" w:cs="Arial"/>
          <w:sz w:val="24"/>
          <w:szCs w:val="24"/>
          <w:lang w:eastAsia="en-GB"/>
        </w:rPr>
        <w:t>s</w:t>
      </w:r>
      <w:r w:rsidR="00F66E5E" w:rsidRPr="0CF1AE7A">
        <w:rPr>
          <w:rFonts w:ascii="Arial" w:hAnsi="Arial" w:cs="Arial"/>
          <w:sz w:val="24"/>
          <w:szCs w:val="24"/>
          <w:lang w:eastAsia="en-GB"/>
        </w:rPr>
        <w:t xml:space="preserve"> w</w:t>
      </w:r>
      <w:r w:rsidR="00F556BF" w:rsidRPr="0CF1AE7A">
        <w:rPr>
          <w:rFonts w:ascii="Arial" w:hAnsi="Arial" w:cs="Arial"/>
          <w:sz w:val="24"/>
          <w:szCs w:val="24"/>
          <w:lang w:eastAsia="en-GB"/>
        </w:rPr>
        <w:t xml:space="preserve">ere </w:t>
      </w:r>
      <w:r w:rsidR="00F66E5E" w:rsidRPr="0CF1AE7A">
        <w:rPr>
          <w:rFonts w:ascii="Arial" w:hAnsi="Arial" w:cs="Arial"/>
          <w:sz w:val="24"/>
          <w:szCs w:val="24"/>
          <w:lang w:eastAsia="en-GB"/>
        </w:rPr>
        <w:t>for death</w:t>
      </w:r>
      <w:r w:rsidR="00F556BF" w:rsidRPr="0CF1AE7A">
        <w:rPr>
          <w:rFonts w:ascii="Arial" w:hAnsi="Arial" w:cs="Arial"/>
          <w:sz w:val="24"/>
          <w:szCs w:val="24"/>
          <w:lang w:eastAsia="en-GB"/>
        </w:rPr>
        <w:t>s</w:t>
      </w:r>
      <w:r w:rsidR="00F66E5E" w:rsidRPr="0CF1AE7A">
        <w:rPr>
          <w:rFonts w:ascii="Arial" w:hAnsi="Arial" w:cs="Arial"/>
          <w:sz w:val="24"/>
          <w:szCs w:val="24"/>
          <w:lang w:eastAsia="en-GB"/>
        </w:rPr>
        <w:t xml:space="preserve"> that occurred in </w:t>
      </w:r>
      <w:r w:rsidR="004B3206" w:rsidRPr="0CF1AE7A">
        <w:rPr>
          <w:rFonts w:ascii="Arial" w:hAnsi="Arial" w:cs="Arial"/>
          <w:sz w:val="24"/>
          <w:szCs w:val="24"/>
          <w:lang w:eastAsia="en-GB"/>
        </w:rPr>
        <w:t xml:space="preserve">the </w:t>
      </w:r>
      <w:r w:rsidR="00F66E5E" w:rsidRPr="0CF1AE7A">
        <w:rPr>
          <w:rFonts w:ascii="Arial" w:hAnsi="Arial" w:cs="Arial"/>
          <w:sz w:val="24"/>
          <w:szCs w:val="24"/>
          <w:lang w:eastAsia="en-GB"/>
        </w:rPr>
        <w:t>previous reporting periods</w:t>
      </w:r>
      <w:r w:rsidR="6DC4BC63" w:rsidRPr="0CF1AE7A">
        <w:rPr>
          <w:rFonts w:ascii="Arial" w:hAnsi="Arial" w:cs="Arial"/>
          <w:sz w:val="24"/>
          <w:szCs w:val="24"/>
          <w:lang w:eastAsia="en-GB"/>
        </w:rPr>
        <w:t>,</w:t>
      </w:r>
      <w:r w:rsidR="00F66E5E" w:rsidRPr="0CF1AE7A">
        <w:rPr>
          <w:rFonts w:ascii="Arial" w:hAnsi="Arial" w:cs="Arial"/>
          <w:sz w:val="24"/>
          <w:szCs w:val="24"/>
          <w:lang w:eastAsia="en-GB"/>
        </w:rPr>
        <w:t xml:space="preserve"> and the investigations were completed in this reporting period (Q</w:t>
      </w:r>
      <w:r w:rsidR="0027197D" w:rsidRPr="0CF1AE7A">
        <w:rPr>
          <w:rFonts w:ascii="Arial" w:hAnsi="Arial" w:cs="Arial"/>
          <w:sz w:val="24"/>
          <w:szCs w:val="24"/>
          <w:lang w:eastAsia="en-GB"/>
        </w:rPr>
        <w:t>3</w:t>
      </w:r>
      <w:r w:rsidR="00F66E5E" w:rsidRPr="0CF1AE7A">
        <w:rPr>
          <w:rFonts w:ascii="Arial" w:hAnsi="Arial" w:cs="Arial"/>
          <w:sz w:val="24"/>
          <w:szCs w:val="24"/>
          <w:lang w:eastAsia="en-GB"/>
        </w:rPr>
        <w:t xml:space="preserve"> 2</w:t>
      </w:r>
      <w:r w:rsidR="00A25B02" w:rsidRPr="0CF1AE7A">
        <w:rPr>
          <w:rFonts w:ascii="Arial" w:hAnsi="Arial" w:cs="Arial"/>
          <w:sz w:val="24"/>
          <w:szCs w:val="24"/>
          <w:lang w:eastAsia="en-GB"/>
        </w:rPr>
        <w:t>5</w:t>
      </w:r>
      <w:r w:rsidR="00F66E5E" w:rsidRPr="0CF1AE7A">
        <w:rPr>
          <w:rFonts w:ascii="Arial" w:hAnsi="Arial" w:cs="Arial"/>
          <w:sz w:val="24"/>
          <w:szCs w:val="24"/>
          <w:lang w:eastAsia="en-GB"/>
        </w:rPr>
        <w:t>/2</w:t>
      </w:r>
      <w:r w:rsidR="00A25B02" w:rsidRPr="0CF1AE7A">
        <w:rPr>
          <w:rFonts w:ascii="Arial" w:hAnsi="Arial" w:cs="Arial"/>
          <w:sz w:val="24"/>
          <w:szCs w:val="24"/>
          <w:lang w:eastAsia="en-GB"/>
        </w:rPr>
        <w:t>6</w:t>
      </w:r>
      <w:r w:rsidR="00F66E5E" w:rsidRPr="0CF1AE7A">
        <w:rPr>
          <w:rFonts w:ascii="Arial" w:hAnsi="Arial" w:cs="Arial"/>
          <w:sz w:val="24"/>
          <w:szCs w:val="24"/>
          <w:lang w:eastAsia="en-GB"/>
        </w:rPr>
        <w:t>).</w:t>
      </w:r>
    </w:p>
    <w:p w14:paraId="72219E73" w14:textId="6ADF30C5" w:rsidR="007F60B9" w:rsidRPr="00F556BF" w:rsidRDefault="008641A5" w:rsidP="0CF1AE7A">
      <w:pPr>
        <w:rPr>
          <w:rFonts w:ascii="Arial" w:hAnsi="Arial" w:cs="Arial"/>
          <w:sz w:val="24"/>
          <w:szCs w:val="24"/>
          <w:lang w:eastAsia="en-GB"/>
        </w:rPr>
      </w:pPr>
      <w:r w:rsidRPr="0CF1AE7A">
        <w:rPr>
          <w:rFonts w:ascii="Arial" w:hAnsi="Arial" w:cs="Arial"/>
          <w:b/>
          <w:bCs/>
          <w:color w:val="000000" w:themeColor="text1"/>
          <w:sz w:val="24"/>
          <w:szCs w:val="24"/>
          <w:lang w:eastAsia="en-GB"/>
        </w:rPr>
        <w:t>4</w:t>
      </w:r>
      <w:r w:rsidR="007F60B9" w:rsidRPr="0CF1AE7A">
        <w:rPr>
          <w:rFonts w:ascii="Arial" w:hAnsi="Arial" w:cs="Arial"/>
          <w:b/>
          <w:bCs/>
          <w:color w:val="000000" w:themeColor="text1"/>
          <w:sz w:val="24"/>
          <w:szCs w:val="24"/>
          <w:lang w:eastAsia="en-GB"/>
        </w:rPr>
        <w:t xml:space="preserve"> LLRs</w:t>
      </w:r>
      <w:r w:rsidR="007F60B9" w:rsidRPr="0CF1AE7A">
        <w:rPr>
          <w:rFonts w:ascii="Arial" w:hAnsi="Arial" w:cs="Arial"/>
          <w:color w:val="000000" w:themeColor="text1"/>
          <w:sz w:val="24"/>
          <w:szCs w:val="24"/>
          <w:lang w:eastAsia="en-GB"/>
        </w:rPr>
        <w:t xml:space="preserve"> </w:t>
      </w:r>
      <w:r w:rsidR="007F60B9" w:rsidRPr="0CF1AE7A">
        <w:rPr>
          <w:rFonts w:ascii="Arial" w:hAnsi="Arial" w:cs="Arial"/>
          <w:sz w:val="24"/>
          <w:szCs w:val="24"/>
          <w:lang w:eastAsia="en-GB"/>
        </w:rPr>
        <w:t>were for deaths that occurred in the previous reporting periods</w:t>
      </w:r>
      <w:r w:rsidR="1AE2B9F1" w:rsidRPr="0CF1AE7A">
        <w:rPr>
          <w:rFonts w:ascii="Arial" w:hAnsi="Arial" w:cs="Arial"/>
          <w:sz w:val="24"/>
          <w:szCs w:val="24"/>
          <w:lang w:eastAsia="en-GB"/>
        </w:rPr>
        <w:t>,</w:t>
      </w:r>
      <w:r w:rsidR="007F60B9" w:rsidRPr="0CF1AE7A">
        <w:rPr>
          <w:rFonts w:ascii="Arial" w:hAnsi="Arial" w:cs="Arial"/>
          <w:sz w:val="24"/>
          <w:szCs w:val="24"/>
          <w:lang w:eastAsia="en-GB"/>
        </w:rPr>
        <w:t xml:space="preserve"> and the investigations were completed in this reporting period (Q</w:t>
      </w:r>
      <w:r w:rsidR="0027197D" w:rsidRPr="0CF1AE7A">
        <w:rPr>
          <w:rFonts w:ascii="Arial" w:hAnsi="Arial" w:cs="Arial"/>
          <w:sz w:val="24"/>
          <w:szCs w:val="24"/>
          <w:lang w:eastAsia="en-GB"/>
        </w:rPr>
        <w:t>3</w:t>
      </w:r>
      <w:r w:rsidR="007F60B9" w:rsidRPr="0CF1AE7A">
        <w:rPr>
          <w:rFonts w:ascii="Arial" w:hAnsi="Arial" w:cs="Arial"/>
          <w:sz w:val="24"/>
          <w:szCs w:val="24"/>
          <w:lang w:eastAsia="en-GB"/>
        </w:rPr>
        <w:t xml:space="preserve"> 25/26).</w:t>
      </w:r>
    </w:p>
    <w:p w14:paraId="34A11311" w14:textId="6EA48D80" w:rsidR="00F66E5E" w:rsidRPr="009D6335" w:rsidRDefault="00F66E5E" w:rsidP="00F66E5E">
      <w:pPr>
        <w:rPr>
          <w:rFonts w:ascii="Arial" w:hAnsi="Arial" w:cs="Arial"/>
          <w:sz w:val="24"/>
          <w:szCs w:val="24"/>
        </w:rPr>
      </w:pPr>
      <w:r w:rsidRPr="009D6335">
        <w:rPr>
          <w:rFonts w:ascii="Arial" w:hAnsi="Arial" w:cs="Arial"/>
          <w:sz w:val="24"/>
          <w:szCs w:val="24"/>
        </w:rPr>
        <w:t>All types of incident response (PSII, SJR,</w:t>
      </w:r>
      <w:r w:rsidR="004F1686">
        <w:rPr>
          <w:rFonts w:ascii="Arial" w:hAnsi="Arial" w:cs="Arial"/>
          <w:sz w:val="24"/>
          <w:szCs w:val="24"/>
        </w:rPr>
        <w:t xml:space="preserve"> TA,</w:t>
      </w:r>
      <w:r w:rsidRPr="009D6335">
        <w:rPr>
          <w:rFonts w:ascii="Arial" w:hAnsi="Arial" w:cs="Arial"/>
          <w:sz w:val="24"/>
          <w:szCs w:val="24"/>
        </w:rPr>
        <w:t xml:space="preserve"> LLR or AAR) have the same remit of identifying system learning for improvement.</w:t>
      </w:r>
    </w:p>
    <w:p w14:paraId="44799EEB" w14:textId="77777777" w:rsidR="00C77248" w:rsidRDefault="00C77248" w:rsidP="0033335A">
      <w:pPr>
        <w:rPr>
          <w:rFonts w:ascii="Arial" w:hAnsi="Arial" w:cs="Arial"/>
          <w:b/>
          <w:color w:val="000000" w:themeColor="text1"/>
          <w:sz w:val="24"/>
          <w:szCs w:val="24"/>
        </w:rPr>
      </w:pPr>
    </w:p>
    <w:p w14:paraId="2E569E80" w14:textId="2354FFE7" w:rsidR="005242BD" w:rsidRPr="001E7C5D" w:rsidRDefault="00E0620C" w:rsidP="0033335A">
      <w:pPr>
        <w:rPr>
          <w:rFonts w:ascii="Arial" w:hAnsi="Arial" w:cs="Arial"/>
          <w:b/>
          <w:color w:val="000000" w:themeColor="text1"/>
          <w:sz w:val="24"/>
          <w:szCs w:val="24"/>
        </w:rPr>
      </w:pPr>
      <w:r w:rsidRPr="001E7C5D">
        <w:rPr>
          <w:rFonts w:ascii="Arial" w:hAnsi="Arial" w:cs="Arial"/>
          <w:b/>
          <w:color w:val="000000" w:themeColor="text1"/>
          <w:sz w:val="24"/>
          <w:szCs w:val="24"/>
        </w:rPr>
        <w:t xml:space="preserve">Learning and </w:t>
      </w:r>
      <w:r w:rsidR="0051394C">
        <w:rPr>
          <w:rFonts w:ascii="Arial" w:hAnsi="Arial" w:cs="Arial"/>
          <w:b/>
          <w:color w:val="000000" w:themeColor="text1"/>
          <w:sz w:val="24"/>
          <w:szCs w:val="24"/>
        </w:rPr>
        <w:t>I</w:t>
      </w:r>
      <w:r w:rsidRPr="001E7C5D">
        <w:rPr>
          <w:rFonts w:ascii="Arial" w:hAnsi="Arial" w:cs="Arial"/>
          <w:b/>
          <w:color w:val="000000" w:themeColor="text1"/>
          <w:sz w:val="24"/>
          <w:szCs w:val="24"/>
        </w:rPr>
        <w:t>mprovement</w:t>
      </w:r>
    </w:p>
    <w:p w14:paraId="6DF87821" w14:textId="6A1EE68E" w:rsidR="00E0620C" w:rsidRPr="001E7C5D" w:rsidRDefault="00E0620C" w:rsidP="0033335A">
      <w:pPr>
        <w:rPr>
          <w:rFonts w:ascii="Arial" w:hAnsi="Arial" w:cs="Arial"/>
          <w:color w:val="000000" w:themeColor="text1"/>
          <w:sz w:val="24"/>
          <w:szCs w:val="24"/>
          <w:lang w:eastAsia="en-GB"/>
        </w:rPr>
      </w:pPr>
      <w:r w:rsidRPr="001E7C5D">
        <w:rPr>
          <w:rFonts w:ascii="Arial" w:hAnsi="Arial" w:cs="Arial"/>
          <w:color w:val="000000" w:themeColor="text1"/>
          <w:sz w:val="24"/>
          <w:szCs w:val="24"/>
        </w:rPr>
        <w:t>BDC</w:t>
      </w:r>
      <w:r w:rsidR="00CF32F8" w:rsidRPr="001E7C5D">
        <w:rPr>
          <w:rFonts w:ascii="Arial" w:hAnsi="Arial" w:cs="Arial"/>
          <w:color w:val="000000" w:themeColor="text1"/>
          <w:sz w:val="24"/>
          <w:szCs w:val="24"/>
        </w:rPr>
        <w:t>F</w:t>
      </w:r>
      <w:r w:rsidRPr="001E7C5D">
        <w:rPr>
          <w:rFonts w:ascii="Arial" w:hAnsi="Arial" w:cs="Arial"/>
          <w:color w:val="000000" w:themeColor="text1"/>
          <w:sz w:val="24"/>
          <w:szCs w:val="24"/>
        </w:rPr>
        <w:t>T takes a proactive approach to learning from deaths and the following summary highlights where good practice and areas identified for improvement have been highlighted during Q</w:t>
      </w:r>
      <w:r w:rsidR="0027197D">
        <w:rPr>
          <w:rFonts w:ascii="Arial" w:hAnsi="Arial" w:cs="Arial"/>
          <w:color w:val="000000" w:themeColor="text1"/>
          <w:sz w:val="24"/>
          <w:szCs w:val="24"/>
        </w:rPr>
        <w:t>3</w:t>
      </w:r>
      <w:r w:rsidRPr="001E7C5D">
        <w:rPr>
          <w:rFonts w:ascii="Arial" w:hAnsi="Arial" w:cs="Arial"/>
          <w:color w:val="000000" w:themeColor="text1"/>
          <w:sz w:val="24"/>
          <w:szCs w:val="24"/>
        </w:rPr>
        <w:t>, 202</w:t>
      </w:r>
      <w:r w:rsidR="005E4CF0">
        <w:rPr>
          <w:rFonts w:ascii="Arial" w:hAnsi="Arial" w:cs="Arial"/>
          <w:color w:val="000000" w:themeColor="text1"/>
          <w:sz w:val="24"/>
          <w:szCs w:val="24"/>
        </w:rPr>
        <w:t>5/26</w:t>
      </w:r>
      <w:r w:rsidRPr="001E7C5D">
        <w:rPr>
          <w:rFonts w:ascii="Arial" w:hAnsi="Arial" w:cs="Arial"/>
          <w:color w:val="000000" w:themeColor="text1"/>
          <w:sz w:val="24"/>
          <w:szCs w:val="24"/>
        </w:rPr>
        <w:t>.</w:t>
      </w:r>
      <w:r w:rsidRPr="001E7C5D">
        <w:rPr>
          <w:rFonts w:ascii="Arial" w:hAnsi="Arial" w:cs="Arial"/>
          <w:color w:val="000000" w:themeColor="text1"/>
          <w:sz w:val="24"/>
          <w:szCs w:val="24"/>
          <w:lang w:eastAsia="en-GB"/>
        </w:rPr>
        <w:t xml:space="preserve"> This learning is used to shape future quality and safety improvements. </w:t>
      </w:r>
    </w:p>
    <w:p w14:paraId="653E71CF" w14:textId="5E4996C1" w:rsidR="00F66E5E" w:rsidRPr="00594012" w:rsidRDefault="00F66E5E" w:rsidP="00F66E5E">
      <w:pPr>
        <w:rPr>
          <w:rFonts w:ascii="Arial" w:hAnsi="Arial" w:cs="Arial"/>
          <w:sz w:val="24"/>
          <w:szCs w:val="24"/>
          <w:u w:val="single"/>
          <w:lang w:eastAsia="en-GB"/>
        </w:rPr>
      </w:pPr>
      <w:bookmarkStart w:id="2" w:name="_Hlk179464037"/>
      <w:r w:rsidRPr="0082346A">
        <w:rPr>
          <w:rFonts w:ascii="Arial" w:hAnsi="Arial" w:cs="Arial"/>
          <w:sz w:val="24"/>
          <w:szCs w:val="24"/>
          <w:u w:val="single"/>
          <w:lang w:eastAsia="en-GB"/>
        </w:rPr>
        <w:t xml:space="preserve">Learning from good </w:t>
      </w:r>
      <w:r w:rsidR="00416FA8">
        <w:rPr>
          <w:rFonts w:ascii="Arial" w:hAnsi="Arial" w:cs="Arial"/>
          <w:sz w:val="24"/>
          <w:szCs w:val="24"/>
          <w:u w:val="single"/>
          <w:lang w:eastAsia="en-GB"/>
        </w:rPr>
        <w:t xml:space="preserve">practice </w:t>
      </w:r>
      <w:r w:rsidRPr="0082346A">
        <w:rPr>
          <w:rFonts w:ascii="Arial" w:hAnsi="Arial" w:cs="Arial"/>
          <w:sz w:val="24"/>
          <w:szCs w:val="24"/>
          <w:u w:val="single"/>
          <w:lang w:eastAsia="en-GB"/>
        </w:rPr>
        <w:t>and excellence:</w:t>
      </w:r>
    </w:p>
    <w:bookmarkEnd w:id="2"/>
    <w:p w14:paraId="64653C0E" w14:textId="17254F21" w:rsidR="00101EBD" w:rsidRDefault="00A91B01" w:rsidP="00F66E5E">
      <w:pPr>
        <w:rPr>
          <w:rFonts w:ascii="Arial" w:hAnsi="Arial" w:cs="Arial"/>
          <w:sz w:val="24"/>
          <w:szCs w:val="24"/>
          <w:lang w:eastAsia="en-GB"/>
        </w:rPr>
      </w:pPr>
      <w:r w:rsidRPr="0CF1AE7A">
        <w:rPr>
          <w:rFonts w:ascii="Arial" w:hAnsi="Arial" w:cs="Arial"/>
          <w:sz w:val="24"/>
          <w:szCs w:val="24"/>
          <w:lang w:eastAsia="en-GB"/>
        </w:rPr>
        <w:t>Several reviews</w:t>
      </w:r>
      <w:r w:rsidR="00F66E5E" w:rsidRPr="0CF1AE7A">
        <w:rPr>
          <w:rFonts w:ascii="Arial" w:hAnsi="Arial" w:cs="Arial"/>
          <w:sz w:val="24"/>
          <w:szCs w:val="24"/>
          <w:lang w:eastAsia="en-GB"/>
        </w:rPr>
        <w:t xml:space="preserve"> were conducted that concluded good and excellent care had been provided by various inpatient and community teams. </w:t>
      </w:r>
    </w:p>
    <w:p w14:paraId="6B96FC7C" w14:textId="7BC32235" w:rsidR="00580349" w:rsidRDefault="00101EBD" w:rsidP="00F66E5E">
      <w:pPr>
        <w:rPr>
          <w:rFonts w:ascii="Arial" w:hAnsi="Arial" w:cs="Arial"/>
          <w:sz w:val="24"/>
          <w:szCs w:val="24"/>
          <w:lang w:eastAsia="en-GB"/>
        </w:rPr>
      </w:pPr>
      <w:r w:rsidRPr="0CF1AE7A">
        <w:rPr>
          <w:rFonts w:ascii="Arial" w:hAnsi="Arial" w:cs="Arial"/>
          <w:sz w:val="24"/>
          <w:szCs w:val="24"/>
          <w:lang w:eastAsia="en-GB"/>
        </w:rPr>
        <w:t xml:space="preserve">Some examples </w:t>
      </w:r>
      <w:r w:rsidR="00416FA8" w:rsidRPr="0CF1AE7A">
        <w:rPr>
          <w:rFonts w:ascii="Arial" w:hAnsi="Arial" w:cs="Arial"/>
          <w:sz w:val="24"/>
          <w:szCs w:val="24"/>
          <w:lang w:eastAsia="en-GB"/>
        </w:rPr>
        <w:t>of</w:t>
      </w:r>
      <w:r w:rsidR="00F66E5E" w:rsidRPr="0CF1AE7A">
        <w:rPr>
          <w:rFonts w:ascii="Arial" w:hAnsi="Arial" w:cs="Arial"/>
          <w:sz w:val="24"/>
          <w:szCs w:val="24"/>
          <w:lang w:eastAsia="en-GB"/>
        </w:rPr>
        <w:t xml:space="preserve"> this were:</w:t>
      </w:r>
      <w:r w:rsidR="3E9606AF" w:rsidRPr="0CF1AE7A">
        <w:rPr>
          <w:rFonts w:ascii="Arial" w:hAnsi="Arial" w:cs="Arial"/>
          <w:sz w:val="24"/>
          <w:szCs w:val="24"/>
          <w:lang w:eastAsia="en-GB"/>
        </w:rPr>
        <w:t xml:space="preserve">  </w:t>
      </w:r>
    </w:p>
    <w:p w14:paraId="0E1EC6B4" w14:textId="686D2540" w:rsidR="008641A5" w:rsidRPr="00112F4D" w:rsidRDefault="003A678B" w:rsidP="008641A5">
      <w:pPr>
        <w:pStyle w:val="ListParagraph"/>
        <w:numPr>
          <w:ilvl w:val="0"/>
          <w:numId w:val="20"/>
        </w:numPr>
        <w:spacing w:after="0"/>
        <w:ind w:right="-330"/>
        <w:rPr>
          <w:rFonts w:ascii="Arial" w:hAnsi="Arial" w:cs="Arial"/>
          <w:sz w:val="24"/>
          <w:szCs w:val="24"/>
        </w:rPr>
      </w:pPr>
      <w:r>
        <w:rPr>
          <w:rFonts w:ascii="Arial" w:hAnsi="Arial" w:cs="Arial"/>
          <w:sz w:val="24"/>
          <w:szCs w:val="24"/>
        </w:rPr>
        <w:t>Evidence demonstrates</w:t>
      </w:r>
      <w:r w:rsidR="00072ECF">
        <w:rPr>
          <w:rFonts w:ascii="Arial" w:hAnsi="Arial" w:cs="Arial"/>
          <w:sz w:val="24"/>
          <w:szCs w:val="24"/>
        </w:rPr>
        <w:t xml:space="preserve"> that</w:t>
      </w:r>
      <w:r>
        <w:rPr>
          <w:rFonts w:ascii="Arial" w:hAnsi="Arial" w:cs="Arial"/>
          <w:sz w:val="24"/>
          <w:szCs w:val="24"/>
        </w:rPr>
        <w:t xml:space="preserve"> </w:t>
      </w:r>
      <w:r w:rsidR="008641A5" w:rsidRPr="00112F4D">
        <w:rPr>
          <w:rFonts w:ascii="Arial" w:hAnsi="Arial" w:cs="Arial"/>
          <w:sz w:val="24"/>
          <w:szCs w:val="24"/>
        </w:rPr>
        <w:t>ongoing engagement</w:t>
      </w:r>
      <w:r>
        <w:rPr>
          <w:rFonts w:ascii="Arial" w:hAnsi="Arial" w:cs="Arial"/>
          <w:sz w:val="24"/>
          <w:szCs w:val="24"/>
        </w:rPr>
        <w:t>,</w:t>
      </w:r>
      <w:r w:rsidR="008641A5" w:rsidRPr="00112F4D">
        <w:rPr>
          <w:rFonts w:ascii="Arial" w:hAnsi="Arial" w:cs="Arial"/>
          <w:sz w:val="24"/>
          <w:szCs w:val="24"/>
        </w:rPr>
        <w:t xml:space="preserve"> </w:t>
      </w:r>
      <w:r w:rsidR="008641A5" w:rsidRPr="003A678B">
        <w:rPr>
          <w:rFonts w:ascii="Arial" w:hAnsi="Arial" w:cs="Arial"/>
          <w:b/>
          <w:bCs/>
          <w:sz w:val="24"/>
          <w:szCs w:val="24"/>
        </w:rPr>
        <w:t>collaborative risk assessment</w:t>
      </w:r>
      <w:r w:rsidR="008641A5" w:rsidRPr="00112F4D">
        <w:rPr>
          <w:rFonts w:ascii="Arial" w:hAnsi="Arial" w:cs="Arial"/>
          <w:sz w:val="24"/>
          <w:szCs w:val="24"/>
        </w:rPr>
        <w:t>, care plans and safety plans</w:t>
      </w:r>
      <w:r>
        <w:rPr>
          <w:rFonts w:ascii="Arial" w:hAnsi="Arial" w:cs="Arial"/>
          <w:sz w:val="24"/>
          <w:szCs w:val="24"/>
        </w:rPr>
        <w:t xml:space="preserve"> were all in place</w:t>
      </w:r>
      <w:r w:rsidR="008641A5" w:rsidRPr="00112F4D">
        <w:rPr>
          <w:rFonts w:ascii="Arial" w:hAnsi="Arial" w:cs="Arial"/>
          <w:sz w:val="24"/>
          <w:szCs w:val="24"/>
        </w:rPr>
        <w:t xml:space="preserve">. </w:t>
      </w:r>
    </w:p>
    <w:p w14:paraId="6EDC40B2" w14:textId="3FE33B84" w:rsidR="003414B4" w:rsidRPr="00E92C3D" w:rsidRDefault="003414B4" w:rsidP="003414B4">
      <w:pPr>
        <w:pStyle w:val="ListParagraph"/>
        <w:numPr>
          <w:ilvl w:val="0"/>
          <w:numId w:val="20"/>
        </w:numPr>
        <w:spacing w:after="0" w:line="276" w:lineRule="auto"/>
        <w:rPr>
          <w:rFonts w:ascii="Arial" w:hAnsi="Arial" w:cs="Arial"/>
          <w:sz w:val="24"/>
          <w:szCs w:val="24"/>
        </w:rPr>
      </w:pPr>
      <w:r w:rsidRPr="00E92C3D">
        <w:rPr>
          <w:rFonts w:ascii="Arial" w:hAnsi="Arial" w:cs="Arial"/>
          <w:sz w:val="24"/>
          <w:szCs w:val="24"/>
        </w:rPr>
        <w:t xml:space="preserve">Patient was </w:t>
      </w:r>
      <w:r w:rsidRPr="003A678B">
        <w:rPr>
          <w:rFonts w:ascii="Arial" w:hAnsi="Arial" w:cs="Arial"/>
          <w:b/>
          <w:bCs/>
          <w:sz w:val="24"/>
          <w:szCs w:val="24"/>
        </w:rPr>
        <w:t>treated with respect</w:t>
      </w:r>
      <w:r w:rsidRPr="00E92C3D">
        <w:rPr>
          <w:rFonts w:ascii="Arial" w:hAnsi="Arial" w:cs="Arial"/>
          <w:sz w:val="24"/>
          <w:szCs w:val="24"/>
        </w:rPr>
        <w:t xml:space="preserve"> and received good care during interactions with staff and was offered </w:t>
      </w:r>
      <w:r w:rsidR="003A678B">
        <w:rPr>
          <w:rFonts w:ascii="Arial" w:hAnsi="Arial" w:cs="Arial"/>
          <w:sz w:val="24"/>
          <w:szCs w:val="24"/>
        </w:rPr>
        <w:t xml:space="preserve">further </w:t>
      </w:r>
      <w:r w:rsidRPr="00E92C3D">
        <w:rPr>
          <w:rFonts w:ascii="Arial" w:hAnsi="Arial" w:cs="Arial"/>
          <w:sz w:val="24"/>
          <w:szCs w:val="24"/>
        </w:rPr>
        <w:t>opportunities to engage with services.</w:t>
      </w:r>
    </w:p>
    <w:p w14:paraId="12AACE60" w14:textId="3D3A2695" w:rsidR="003414B4" w:rsidRDefault="003414B4" w:rsidP="003414B4">
      <w:pPr>
        <w:pStyle w:val="ListParagraph"/>
        <w:numPr>
          <w:ilvl w:val="0"/>
          <w:numId w:val="20"/>
        </w:numPr>
        <w:spacing w:after="0" w:line="276" w:lineRule="auto"/>
        <w:rPr>
          <w:rFonts w:ascii="Arial" w:hAnsi="Arial" w:cs="Arial"/>
          <w:sz w:val="24"/>
          <w:szCs w:val="24"/>
        </w:rPr>
      </w:pPr>
      <w:r w:rsidRPr="003A678B">
        <w:rPr>
          <w:rFonts w:ascii="Arial" w:hAnsi="Arial" w:cs="Arial"/>
          <w:sz w:val="24"/>
          <w:szCs w:val="24"/>
        </w:rPr>
        <w:t xml:space="preserve">Mum’s perspective was </w:t>
      </w:r>
      <w:r w:rsidR="0086016D" w:rsidRPr="003A678B">
        <w:rPr>
          <w:rFonts w:ascii="Arial" w:hAnsi="Arial" w:cs="Arial"/>
          <w:sz w:val="24"/>
          <w:szCs w:val="24"/>
        </w:rPr>
        <w:t>sought</w:t>
      </w:r>
      <w:r w:rsidR="0086016D" w:rsidRPr="00E92C3D">
        <w:rPr>
          <w:rFonts w:ascii="Arial" w:hAnsi="Arial" w:cs="Arial"/>
          <w:sz w:val="24"/>
          <w:szCs w:val="24"/>
        </w:rPr>
        <w:t xml:space="preserve"> and</w:t>
      </w:r>
      <w:r w:rsidRPr="00E92C3D">
        <w:rPr>
          <w:rFonts w:ascii="Arial" w:hAnsi="Arial" w:cs="Arial"/>
          <w:sz w:val="24"/>
          <w:szCs w:val="24"/>
        </w:rPr>
        <w:t xml:space="preserve"> was </w:t>
      </w:r>
      <w:r w:rsidRPr="003A678B">
        <w:rPr>
          <w:rFonts w:ascii="Arial" w:hAnsi="Arial" w:cs="Arial"/>
          <w:b/>
          <w:bCs/>
          <w:sz w:val="24"/>
          <w:szCs w:val="24"/>
        </w:rPr>
        <w:t>involved in discussions</w:t>
      </w:r>
      <w:r w:rsidRPr="00E92C3D">
        <w:rPr>
          <w:rFonts w:ascii="Arial" w:hAnsi="Arial" w:cs="Arial"/>
          <w:sz w:val="24"/>
          <w:szCs w:val="24"/>
        </w:rPr>
        <w:t xml:space="preserve"> about discharge arrangements.</w:t>
      </w:r>
    </w:p>
    <w:p w14:paraId="2A877428" w14:textId="51D9C0A7" w:rsidR="003414B4" w:rsidRPr="007B1CA1" w:rsidRDefault="003414B4" w:rsidP="003414B4">
      <w:pPr>
        <w:pStyle w:val="ListParagraph"/>
        <w:numPr>
          <w:ilvl w:val="0"/>
          <w:numId w:val="20"/>
        </w:numPr>
        <w:spacing w:after="0" w:line="276" w:lineRule="auto"/>
        <w:rPr>
          <w:rFonts w:ascii="Arial" w:hAnsi="Arial" w:cs="Arial"/>
          <w:sz w:val="24"/>
          <w:szCs w:val="24"/>
        </w:rPr>
      </w:pPr>
      <w:r w:rsidRPr="003A678B">
        <w:rPr>
          <w:rFonts w:ascii="Arial" w:hAnsi="Arial" w:cs="Arial"/>
          <w:b/>
          <w:bCs/>
          <w:sz w:val="24"/>
          <w:szCs w:val="24"/>
        </w:rPr>
        <w:t>Perceived risk</w:t>
      </w:r>
      <w:r w:rsidR="00455BDD">
        <w:rPr>
          <w:rFonts w:ascii="Arial" w:hAnsi="Arial" w:cs="Arial"/>
          <w:b/>
          <w:bCs/>
          <w:sz w:val="24"/>
          <w:szCs w:val="24"/>
        </w:rPr>
        <w:t xml:space="preserve">s were </w:t>
      </w:r>
      <w:r w:rsidRPr="003A678B">
        <w:rPr>
          <w:rFonts w:ascii="Arial" w:hAnsi="Arial" w:cs="Arial"/>
          <w:b/>
          <w:bCs/>
          <w:sz w:val="24"/>
          <w:szCs w:val="24"/>
        </w:rPr>
        <w:t>effectively managed</w:t>
      </w:r>
      <w:r w:rsidRPr="007B1CA1">
        <w:rPr>
          <w:rFonts w:ascii="Arial" w:hAnsi="Arial" w:cs="Arial"/>
          <w:sz w:val="24"/>
          <w:szCs w:val="24"/>
        </w:rPr>
        <w:t xml:space="preserve"> in relation to expressed suicidal thoughts and actions, and regarding homelessness.</w:t>
      </w:r>
    </w:p>
    <w:p w14:paraId="25737280" w14:textId="57E4483B" w:rsidR="003414B4" w:rsidRPr="007B1CA1" w:rsidRDefault="003A678B" w:rsidP="003414B4">
      <w:pPr>
        <w:pStyle w:val="ListParagraph"/>
        <w:numPr>
          <w:ilvl w:val="0"/>
          <w:numId w:val="20"/>
        </w:numPr>
        <w:spacing w:after="0" w:line="276" w:lineRule="auto"/>
        <w:rPr>
          <w:rFonts w:ascii="Arial" w:hAnsi="Arial" w:cs="Arial"/>
          <w:sz w:val="24"/>
          <w:szCs w:val="24"/>
        </w:rPr>
      </w:pPr>
      <w:r>
        <w:rPr>
          <w:rFonts w:ascii="Arial" w:hAnsi="Arial" w:cs="Arial"/>
          <w:sz w:val="24"/>
          <w:szCs w:val="24"/>
        </w:rPr>
        <w:t>S</w:t>
      </w:r>
      <w:r w:rsidR="003414B4" w:rsidRPr="007B1CA1">
        <w:rPr>
          <w:rFonts w:ascii="Arial" w:hAnsi="Arial" w:cs="Arial"/>
          <w:sz w:val="24"/>
          <w:szCs w:val="24"/>
        </w:rPr>
        <w:t xml:space="preserve">taff made reasonable adjustments and gave practical and emotional support to help </w:t>
      </w:r>
      <w:r>
        <w:rPr>
          <w:rFonts w:ascii="Arial" w:hAnsi="Arial" w:cs="Arial"/>
          <w:sz w:val="24"/>
          <w:szCs w:val="24"/>
        </w:rPr>
        <w:t>the p</w:t>
      </w:r>
      <w:r w:rsidR="003414B4" w:rsidRPr="007B1CA1">
        <w:rPr>
          <w:rFonts w:ascii="Arial" w:hAnsi="Arial" w:cs="Arial"/>
          <w:sz w:val="24"/>
          <w:szCs w:val="24"/>
        </w:rPr>
        <w:t xml:space="preserve">atient with </w:t>
      </w:r>
      <w:r w:rsidR="003414B4" w:rsidRPr="003A678B">
        <w:rPr>
          <w:rFonts w:ascii="Arial" w:hAnsi="Arial" w:cs="Arial"/>
          <w:b/>
          <w:bCs/>
          <w:sz w:val="24"/>
          <w:szCs w:val="24"/>
        </w:rPr>
        <w:t>communication and accessibility of information</w:t>
      </w:r>
      <w:r w:rsidR="003414B4" w:rsidRPr="007B1CA1">
        <w:rPr>
          <w:rFonts w:ascii="Arial" w:hAnsi="Arial" w:cs="Arial"/>
          <w:sz w:val="24"/>
          <w:szCs w:val="24"/>
        </w:rPr>
        <w:t>.</w:t>
      </w:r>
    </w:p>
    <w:p w14:paraId="71E0959B" w14:textId="5D307767" w:rsidR="008E272D" w:rsidRPr="003A678B" w:rsidRDefault="008E272D" w:rsidP="008E272D">
      <w:pPr>
        <w:pStyle w:val="ListParagraph"/>
        <w:numPr>
          <w:ilvl w:val="0"/>
          <w:numId w:val="20"/>
        </w:numPr>
        <w:rPr>
          <w:rFonts w:ascii="Arial" w:hAnsi="Arial" w:cs="Arial"/>
          <w:bCs/>
          <w:sz w:val="24"/>
          <w:szCs w:val="24"/>
        </w:rPr>
      </w:pPr>
      <w:r w:rsidRPr="003A678B">
        <w:rPr>
          <w:rFonts w:ascii="Arial" w:hAnsi="Arial" w:cs="Arial"/>
          <w:bCs/>
          <w:sz w:val="24"/>
          <w:szCs w:val="24"/>
        </w:rPr>
        <w:t xml:space="preserve">The visit identified good practice in terms of a robust assessment being undertaken and evidence of a </w:t>
      </w:r>
      <w:r w:rsidRPr="003A678B">
        <w:rPr>
          <w:rFonts w:ascii="Arial" w:hAnsi="Arial" w:cs="Arial"/>
          <w:b/>
          <w:sz w:val="24"/>
          <w:szCs w:val="24"/>
        </w:rPr>
        <w:t>clear management plan</w:t>
      </w:r>
      <w:r w:rsidRPr="003A678B">
        <w:rPr>
          <w:rFonts w:ascii="Arial" w:hAnsi="Arial" w:cs="Arial"/>
          <w:bCs/>
          <w:sz w:val="24"/>
          <w:szCs w:val="24"/>
        </w:rPr>
        <w:t xml:space="preserve"> and follow up visit being scheduled. </w:t>
      </w:r>
    </w:p>
    <w:p w14:paraId="6E60F8E4" w14:textId="5192A605" w:rsidR="008E272D" w:rsidRDefault="00455BDD" w:rsidP="0CF1AE7A">
      <w:pPr>
        <w:pStyle w:val="ListParagraph"/>
        <w:numPr>
          <w:ilvl w:val="0"/>
          <w:numId w:val="20"/>
        </w:numPr>
        <w:rPr>
          <w:rFonts w:ascii="Arial" w:hAnsi="Arial" w:cs="Arial"/>
          <w:sz w:val="24"/>
          <w:szCs w:val="24"/>
        </w:rPr>
      </w:pPr>
      <w:r w:rsidRPr="0CF1AE7A">
        <w:rPr>
          <w:rFonts w:ascii="Arial" w:hAnsi="Arial" w:cs="Arial"/>
          <w:sz w:val="24"/>
          <w:szCs w:val="24"/>
        </w:rPr>
        <w:t xml:space="preserve">A </w:t>
      </w:r>
      <w:r w:rsidRPr="0CF1AE7A">
        <w:rPr>
          <w:rFonts w:ascii="Arial" w:hAnsi="Arial" w:cs="Arial"/>
          <w:b/>
          <w:bCs/>
          <w:sz w:val="24"/>
          <w:szCs w:val="24"/>
        </w:rPr>
        <w:t>proactive approach</w:t>
      </w:r>
      <w:r w:rsidRPr="0CF1AE7A">
        <w:rPr>
          <w:rFonts w:ascii="Arial" w:hAnsi="Arial" w:cs="Arial"/>
          <w:sz w:val="24"/>
          <w:szCs w:val="24"/>
        </w:rPr>
        <w:t xml:space="preserve"> </w:t>
      </w:r>
      <w:r w:rsidR="003A678B" w:rsidRPr="0CF1AE7A">
        <w:rPr>
          <w:rFonts w:ascii="Arial" w:hAnsi="Arial" w:cs="Arial"/>
          <w:sz w:val="24"/>
          <w:szCs w:val="24"/>
        </w:rPr>
        <w:t>was followed</w:t>
      </w:r>
      <w:r w:rsidR="008E272D" w:rsidRPr="0CF1AE7A">
        <w:rPr>
          <w:rFonts w:ascii="Arial" w:hAnsi="Arial" w:cs="Arial"/>
          <w:sz w:val="24"/>
          <w:szCs w:val="24"/>
        </w:rPr>
        <w:t xml:space="preserve"> in </w:t>
      </w:r>
      <w:r w:rsidR="003A678B" w:rsidRPr="0CF1AE7A">
        <w:rPr>
          <w:rFonts w:ascii="Arial" w:hAnsi="Arial" w:cs="Arial"/>
          <w:sz w:val="24"/>
          <w:szCs w:val="24"/>
        </w:rPr>
        <w:t xml:space="preserve">reporting a </w:t>
      </w:r>
      <w:r w:rsidR="008E272D" w:rsidRPr="0CF1AE7A">
        <w:rPr>
          <w:rFonts w:ascii="Arial" w:hAnsi="Arial" w:cs="Arial"/>
          <w:sz w:val="24"/>
          <w:szCs w:val="24"/>
        </w:rPr>
        <w:t>faulty mattress and a replacement ordered without delay.</w:t>
      </w:r>
      <w:r w:rsidR="4A9EF4D5" w:rsidRPr="0CF1AE7A">
        <w:rPr>
          <w:rFonts w:ascii="Arial" w:hAnsi="Arial" w:cs="Arial"/>
          <w:sz w:val="24"/>
          <w:szCs w:val="24"/>
        </w:rPr>
        <w:t xml:space="preserve"> </w:t>
      </w:r>
    </w:p>
    <w:p w14:paraId="63F240B1" w14:textId="52F66C10" w:rsidR="00072ECF" w:rsidRPr="00072ECF" w:rsidRDefault="00072ECF" w:rsidP="005A71E3">
      <w:pPr>
        <w:pStyle w:val="ListParagraph"/>
        <w:numPr>
          <w:ilvl w:val="0"/>
          <w:numId w:val="20"/>
        </w:numPr>
        <w:spacing w:after="200" w:line="276" w:lineRule="auto"/>
        <w:rPr>
          <w:rFonts w:ascii="Arial" w:hAnsi="Arial" w:cs="Arial"/>
          <w:bCs/>
          <w:sz w:val="24"/>
          <w:szCs w:val="24"/>
        </w:rPr>
      </w:pPr>
      <w:r w:rsidRPr="00072ECF">
        <w:rPr>
          <w:rFonts w:ascii="Arial" w:hAnsi="Arial" w:cs="Arial"/>
          <w:bCs/>
          <w:sz w:val="24"/>
          <w:szCs w:val="24"/>
        </w:rPr>
        <w:t>It is assured that the A</w:t>
      </w:r>
      <w:r w:rsidR="00CF779B">
        <w:rPr>
          <w:rFonts w:ascii="Arial" w:hAnsi="Arial" w:cs="Arial"/>
          <w:bCs/>
          <w:sz w:val="24"/>
          <w:szCs w:val="24"/>
        </w:rPr>
        <w:t>rti</w:t>
      </w:r>
      <w:r w:rsidR="008A1D7A">
        <w:rPr>
          <w:rFonts w:ascii="Arial" w:hAnsi="Arial" w:cs="Arial"/>
          <w:bCs/>
          <w:sz w:val="24"/>
          <w:szCs w:val="24"/>
        </w:rPr>
        <w:t xml:space="preserve">ficial Intelligence (AI) </w:t>
      </w:r>
      <w:r w:rsidRPr="00072ECF">
        <w:rPr>
          <w:rFonts w:ascii="Arial" w:hAnsi="Arial" w:cs="Arial"/>
          <w:bCs/>
          <w:sz w:val="24"/>
          <w:szCs w:val="24"/>
        </w:rPr>
        <w:t xml:space="preserve">generated </w:t>
      </w:r>
      <w:r w:rsidRPr="00072ECF">
        <w:rPr>
          <w:rFonts w:ascii="Arial" w:hAnsi="Arial" w:cs="Arial"/>
          <w:b/>
          <w:sz w:val="24"/>
          <w:szCs w:val="24"/>
        </w:rPr>
        <w:t>initial referral assessment is effective</w:t>
      </w:r>
      <w:r w:rsidRPr="00072ECF">
        <w:rPr>
          <w:rFonts w:ascii="Arial" w:hAnsi="Arial" w:cs="Arial"/>
          <w:bCs/>
          <w:sz w:val="24"/>
          <w:szCs w:val="24"/>
        </w:rPr>
        <w:t xml:space="preserve">, however for optimum effectiveness the system depends on referrers giving comprehensive answers. </w:t>
      </w:r>
    </w:p>
    <w:p w14:paraId="63A69A33" w14:textId="56AE1948" w:rsidR="008E272D" w:rsidRPr="003A678B" w:rsidRDefault="003A678B" w:rsidP="008E272D">
      <w:pPr>
        <w:pStyle w:val="ListParagraph"/>
        <w:numPr>
          <w:ilvl w:val="0"/>
          <w:numId w:val="20"/>
        </w:numPr>
        <w:rPr>
          <w:rFonts w:ascii="Arial" w:hAnsi="Arial" w:cs="Arial"/>
          <w:bCs/>
          <w:sz w:val="24"/>
          <w:szCs w:val="24"/>
        </w:rPr>
      </w:pPr>
      <w:r>
        <w:rPr>
          <w:rFonts w:ascii="Arial" w:hAnsi="Arial" w:cs="Arial"/>
          <w:bCs/>
          <w:sz w:val="24"/>
          <w:szCs w:val="24"/>
        </w:rPr>
        <w:t>G</w:t>
      </w:r>
      <w:r w:rsidR="008E272D" w:rsidRPr="003A678B">
        <w:rPr>
          <w:rFonts w:ascii="Arial" w:hAnsi="Arial" w:cs="Arial"/>
          <w:bCs/>
          <w:sz w:val="24"/>
          <w:szCs w:val="24"/>
        </w:rPr>
        <w:t xml:space="preserve">ood practice </w:t>
      </w:r>
      <w:r w:rsidR="00780B06">
        <w:rPr>
          <w:rFonts w:ascii="Arial" w:hAnsi="Arial" w:cs="Arial"/>
          <w:bCs/>
          <w:sz w:val="24"/>
          <w:szCs w:val="24"/>
        </w:rPr>
        <w:t xml:space="preserve">was </w:t>
      </w:r>
      <w:r w:rsidR="008E272D" w:rsidRPr="003A678B">
        <w:rPr>
          <w:rFonts w:ascii="Arial" w:hAnsi="Arial" w:cs="Arial"/>
          <w:bCs/>
          <w:sz w:val="24"/>
          <w:szCs w:val="24"/>
        </w:rPr>
        <w:t xml:space="preserve">identified </w:t>
      </w:r>
      <w:r w:rsidR="00780B06">
        <w:rPr>
          <w:rFonts w:ascii="Arial" w:hAnsi="Arial" w:cs="Arial"/>
          <w:bCs/>
          <w:sz w:val="24"/>
          <w:szCs w:val="24"/>
        </w:rPr>
        <w:t xml:space="preserve">leaving the </w:t>
      </w:r>
      <w:r w:rsidR="008E272D" w:rsidRPr="003A678B">
        <w:rPr>
          <w:rFonts w:ascii="Arial" w:hAnsi="Arial" w:cs="Arial"/>
          <w:bCs/>
          <w:sz w:val="24"/>
          <w:szCs w:val="24"/>
        </w:rPr>
        <w:t xml:space="preserve">dressing in place to </w:t>
      </w:r>
      <w:r w:rsidR="008E272D" w:rsidRPr="003A678B">
        <w:rPr>
          <w:rFonts w:ascii="Arial" w:hAnsi="Arial" w:cs="Arial"/>
          <w:b/>
          <w:sz w:val="24"/>
          <w:szCs w:val="24"/>
        </w:rPr>
        <w:t>avoid further trauma</w:t>
      </w:r>
      <w:r w:rsidR="008E272D" w:rsidRPr="003A678B">
        <w:rPr>
          <w:rFonts w:ascii="Arial" w:hAnsi="Arial" w:cs="Arial"/>
          <w:bCs/>
          <w:sz w:val="24"/>
          <w:szCs w:val="24"/>
        </w:rPr>
        <w:t xml:space="preserve">. </w:t>
      </w:r>
    </w:p>
    <w:p w14:paraId="14EAD06E" w14:textId="78D4BC3E" w:rsidR="008E272D" w:rsidRPr="003A678B" w:rsidRDefault="008E272D" w:rsidP="0CF1AE7A">
      <w:pPr>
        <w:pStyle w:val="ListParagraph"/>
        <w:numPr>
          <w:ilvl w:val="0"/>
          <w:numId w:val="20"/>
        </w:numPr>
        <w:spacing w:after="200" w:line="276" w:lineRule="auto"/>
        <w:rPr>
          <w:rFonts w:ascii="Arial" w:hAnsi="Arial" w:cs="Arial"/>
          <w:sz w:val="24"/>
          <w:szCs w:val="24"/>
        </w:rPr>
      </w:pPr>
      <w:r w:rsidRPr="0CF1AE7A">
        <w:rPr>
          <w:rFonts w:ascii="Arial" w:hAnsi="Arial" w:cs="Arial"/>
          <w:sz w:val="24"/>
          <w:szCs w:val="24"/>
        </w:rPr>
        <w:t xml:space="preserve">Identified </w:t>
      </w:r>
      <w:r w:rsidRPr="0CF1AE7A">
        <w:rPr>
          <w:rFonts w:ascii="Arial" w:hAnsi="Arial" w:cs="Arial"/>
          <w:b/>
          <w:bCs/>
          <w:sz w:val="24"/>
          <w:szCs w:val="24"/>
        </w:rPr>
        <w:t>risk concerns were communicated</w:t>
      </w:r>
      <w:r w:rsidRPr="0CF1AE7A">
        <w:rPr>
          <w:rFonts w:ascii="Arial" w:hAnsi="Arial" w:cs="Arial"/>
          <w:sz w:val="24"/>
          <w:szCs w:val="24"/>
        </w:rPr>
        <w:t xml:space="preserve"> </w:t>
      </w:r>
      <w:r w:rsidR="00780B06" w:rsidRPr="0CF1AE7A">
        <w:rPr>
          <w:rFonts w:ascii="Arial" w:hAnsi="Arial" w:cs="Arial"/>
          <w:sz w:val="24"/>
          <w:szCs w:val="24"/>
        </w:rPr>
        <w:t xml:space="preserve">with the </w:t>
      </w:r>
      <w:r w:rsidRPr="0CF1AE7A">
        <w:rPr>
          <w:rFonts w:ascii="Arial" w:hAnsi="Arial" w:cs="Arial"/>
          <w:sz w:val="24"/>
          <w:szCs w:val="24"/>
        </w:rPr>
        <w:t>G</w:t>
      </w:r>
      <w:r w:rsidR="00292DD3">
        <w:rPr>
          <w:rFonts w:ascii="Arial" w:hAnsi="Arial" w:cs="Arial"/>
          <w:sz w:val="24"/>
          <w:szCs w:val="24"/>
        </w:rPr>
        <w:t>eneral Practitioner (G</w:t>
      </w:r>
      <w:r w:rsidRPr="0CF1AE7A">
        <w:rPr>
          <w:rFonts w:ascii="Arial" w:hAnsi="Arial" w:cs="Arial"/>
          <w:sz w:val="24"/>
          <w:szCs w:val="24"/>
        </w:rPr>
        <w:t>P</w:t>
      </w:r>
      <w:r w:rsidR="00292DD3">
        <w:rPr>
          <w:rFonts w:ascii="Arial" w:hAnsi="Arial" w:cs="Arial"/>
          <w:sz w:val="24"/>
          <w:szCs w:val="24"/>
        </w:rPr>
        <w:t>)</w:t>
      </w:r>
      <w:r w:rsidRPr="0CF1AE7A">
        <w:rPr>
          <w:rFonts w:ascii="Arial" w:hAnsi="Arial" w:cs="Arial"/>
          <w:sz w:val="24"/>
          <w:szCs w:val="24"/>
        </w:rPr>
        <w:t xml:space="preserve">, and </w:t>
      </w:r>
      <w:r w:rsidR="00780B06" w:rsidRPr="0CF1AE7A">
        <w:rPr>
          <w:rFonts w:ascii="Arial" w:hAnsi="Arial" w:cs="Arial"/>
          <w:sz w:val="24"/>
          <w:szCs w:val="24"/>
        </w:rPr>
        <w:t>the p</w:t>
      </w:r>
      <w:r w:rsidRPr="0CF1AE7A">
        <w:rPr>
          <w:rFonts w:ascii="Arial" w:hAnsi="Arial" w:cs="Arial"/>
          <w:sz w:val="24"/>
          <w:szCs w:val="24"/>
        </w:rPr>
        <w:t>atient was provided with a safety plan</w:t>
      </w:r>
      <w:r w:rsidR="00780B06" w:rsidRPr="0CF1AE7A">
        <w:rPr>
          <w:rFonts w:ascii="Arial" w:hAnsi="Arial" w:cs="Arial"/>
          <w:sz w:val="24"/>
          <w:szCs w:val="24"/>
        </w:rPr>
        <w:t xml:space="preserve"> including </w:t>
      </w:r>
      <w:r w:rsidRPr="0CF1AE7A">
        <w:rPr>
          <w:rFonts w:ascii="Arial" w:hAnsi="Arial" w:cs="Arial"/>
          <w:sz w:val="24"/>
          <w:szCs w:val="24"/>
        </w:rPr>
        <w:t>contact details for crisis services.</w:t>
      </w:r>
    </w:p>
    <w:p w14:paraId="239D4C02" w14:textId="7DADF432" w:rsidR="008E272D" w:rsidRPr="003A678B" w:rsidRDefault="008E272D" w:rsidP="008E272D">
      <w:pPr>
        <w:pStyle w:val="ListParagraph"/>
        <w:numPr>
          <w:ilvl w:val="0"/>
          <w:numId w:val="20"/>
        </w:numPr>
        <w:spacing w:after="200" w:line="276" w:lineRule="auto"/>
        <w:rPr>
          <w:rFonts w:ascii="Arial" w:hAnsi="Arial" w:cs="Arial"/>
          <w:bCs/>
          <w:sz w:val="24"/>
          <w:szCs w:val="24"/>
        </w:rPr>
      </w:pPr>
      <w:r w:rsidRPr="003A678B">
        <w:rPr>
          <w:rFonts w:ascii="Arial" w:hAnsi="Arial" w:cs="Arial"/>
          <w:bCs/>
          <w:sz w:val="24"/>
          <w:szCs w:val="24"/>
        </w:rPr>
        <w:t xml:space="preserve">Current Talking Therapies systems support </w:t>
      </w:r>
      <w:r w:rsidRPr="00780B06">
        <w:rPr>
          <w:rFonts w:ascii="Arial" w:hAnsi="Arial" w:cs="Arial"/>
          <w:b/>
          <w:sz w:val="24"/>
          <w:szCs w:val="24"/>
        </w:rPr>
        <w:t>effective transition</w:t>
      </w:r>
      <w:r w:rsidRPr="003A678B">
        <w:rPr>
          <w:rFonts w:ascii="Arial" w:hAnsi="Arial" w:cs="Arial"/>
          <w:bCs/>
          <w:sz w:val="24"/>
          <w:szCs w:val="24"/>
        </w:rPr>
        <w:t xml:space="preserve"> from self-referral to acceptance onto the appropriate caseload. </w:t>
      </w:r>
    </w:p>
    <w:p w14:paraId="244CD6D2" w14:textId="190D3F3E" w:rsidR="008E272D" w:rsidRPr="00780B06" w:rsidRDefault="003A678B" w:rsidP="003A6BD0">
      <w:pPr>
        <w:pStyle w:val="ListParagraph"/>
        <w:numPr>
          <w:ilvl w:val="0"/>
          <w:numId w:val="20"/>
        </w:numPr>
        <w:spacing w:after="200" w:line="276" w:lineRule="auto"/>
        <w:rPr>
          <w:rFonts w:ascii="Arial" w:hAnsi="Arial" w:cs="Arial"/>
          <w:bCs/>
          <w:sz w:val="24"/>
          <w:szCs w:val="24"/>
        </w:rPr>
      </w:pPr>
      <w:r w:rsidRPr="00780B06">
        <w:rPr>
          <w:rFonts w:ascii="Arial" w:hAnsi="Arial" w:cs="Arial"/>
          <w:bCs/>
          <w:sz w:val="24"/>
          <w:szCs w:val="24"/>
        </w:rPr>
        <w:lastRenderedPageBreak/>
        <w:t>T</w:t>
      </w:r>
      <w:r w:rsidR="008E272D" w:rsidRPr="00780B06">
        <w:rPr>
          <w:rFonts w:ascii="Arial" w:hAnsi="Arial" w:cs="Arial"/>
          <w:bCs/>
          <w:sz w:val="24"/>
          <w:szCs w:val="24"/>
        </w:rPr>
        <w:t xml:space="preserve">he decision to continue with private sessions and engage with substance use services </w:t>
      </w:r>
      <w:r w:rsidRPr="00780B06">
        <w:rPr>
          <w:rFonts w:ascii="Arial" w:hAnsi="Arial" w:cs="Arial"/>
          <w:bCs/>
          <w:sz w:val="24"/>
          <w:szCs w:val="24"/>
        </w:rPr>
        <w:t>was</w:t>
      </w:r>
      <w:r w:rsidR="00780B06" w:rsidRPr="00780B06">
        <w:rPr>
          <w:rFonts w:ascii="Arial" w:hAnsi="Arial" w:cs="Arial"/>
          <w:bCs/>
          <w:sz w:val="24"/>
          <w:szCs w:val="24"/>
        </w:rPr>
        <w:t xml:space="preserve"> the </w:t>
      </w:r>
      <w:r w:rsidR="00780B06" w:rsidRPr="00780B06">
        <w:rPr>
          <w:rFonts w:ascii="Arial" w:hAnsi="Arial" w:cs="Arial"/>
          <w:b/>
          <w:sz w:val="24"/>
          <w:szCs w:val="24"/>
        </w:rPr>
        <w:t>most appropriate pathway</w:t>
      </w:r>
      <w:r w:rsidRPr="00780B06">
        <w:rPr>
          <w:rFonts w:ascii="Arial" w:hAnsi="Arial" w:cs="Arial"/>
          <w:bCs/>
          <w:sz w:val="24"/>
          <w:szCs w:val="24"/>
        </w:rPr>
        <w:t xml:space="preserve"> </w:t>
      </w:r>
      <w:r w:rsidR="008E272D" w:rsidRPr="00780B06">
        <w:rPr>
          <w:rFonts w:ascii="Arial" w:hAnsi="Arial" w:cs="Arial"/>
          <w:bCs/>
          <w:sz w:val="24"/>
          <w:szCs w:val="24"/>
        </w:rPr>
        <w:t xml:space="preserve">aligned with a counselling approach. </w:t>
      </w:r>
    </w:p>
    <w:p w14:paraId="3628F2A1" w14:textId="77777777" w:rsidR="00655440" w:rsidRPr="00EC5C81" w:rsidRDefault="00655440" w:rsidP="00655440">
      <w:pPr>
        <w:rPr>
          <w:rFonts w:ascii="Arial" w:hAnsi="Arial" w:cs="Arial"/>
          <w:sz w:val="20"/>
          <w:szCs w:val="20"/>
        </w:rPr>
      </w:pPr>
    </w:p>
    <w:p w14:paraId="73D8A570" w14:textId="77777777" w:rsidR="00F66E5E" w:rsidRPr="00594012" w:rsidRDefault="00F66E5E" w:rsidP="00F66E5E">
      <w:pPr>
        <w:rPr>
          <w:rFonts w:ascii="Arial" w:hAnsi="Arial" w:cs="Arial"/>
          <w:sz w:val="24"/>
          <w:szCs w:val="24"/>
          <w:u w:val="single"/>
          <w:lang w:eastAsia="en-GB"/>
        </w:rPr>
      </w:pPr>
      <w:bookmarkStart w:id="3" w:name="_Hlk179464051"/>
      <w:r w:rsidRPr="00DD292D">
        <w:rPr>
          <w:rFonts w:ascii="Arial" w:hAnsi="Arial" w:cs="Arial"/>
          <w:sz w:val="24"/>
          <w:szCs w:val="24"/>
          <w:u w:val="single"/>
          <w:lang w:eastAsia="en-GB"/>
        </w:rPr>
        <w:t>Learning for improvement:</w:t>
      </w:r>
    </w:p>
    <w:bookmarkEnd w:id="3"/>
    <w:p w14:paraId="4FE50B0E" w14:textId="211D494B" w:rsidR="004173B6" w:rsidRDefault="00F66E5E" w:rsidP="00F66E5E">
      <w:pPr>
        <w:rPr>
          <w:rFonts w:ascii="Arial" w:hAnsi="Arial" w:cs="Arial"/>
          <w:sz w:val="24"/>
          <w:szCs w:val="24"/>
          <w:lang w:eastAsia="en-GB"/>
        </w:rPr>
      </w:pPr>
      <w:r w:rsidRPr="0CF1AE7A">
        <w:rPr>
          <w:rFonts w:ascii="Arial" w:hAnsi="Arial" w:cs="Arial"/>
          <w:sz w:val="24"/>
          <w:szCs w:val="24"/>
          <w:lang w:eastAsia="en-GB"/>
        </w:rPr>
        <w:t xml:space="preserve">Some learning was identified from </w:t>
      </w:r>
      <w:r w:rsidR="51ED1287" w:rsidRPr="0CF1AE7A">
        <w:rPr>
          <w:rFonts w:ascii="Arial" w:hAnsi="Arial" w:cs="Arial"/>
          <w:sz w:val="24"/>
          <w:szCs w:val="24"/>
          <w:lang w:eastAsia="en-GB"/>
        </w:rPr>
        <w:t xml:space="preserve">several </w:t>
      </w:r>
      <w:r w:rsidRPr="0CF1AE7A">
        <w:rPr>
          <w:rFonts w:ascii="Arial" w:hAnsi="Arial" w:cs="Arial"/>
          <w:sz w:val="24"/>
          <w:szCs w:val="24"/>
          <w:lang w:eastAsia="en-GB"/>
        </w:rPr>
        <w:t xml:space="preserve">reviews where care had not gone so well, and improvements could be made. An action plan is developed for all events where learning is identified and is monitored through the operational quality improvement processes in the Trust, with oversight </w:t>
      </w:r>
      <w:r w:rsidR="00430E91" w:rsidRPr="0CF1AE7A">
        <w:rPr>
          <w:rFonts w:ascii="Arial" w:hAnsi="Arial" w:cs="Arial"/>
          <w:sz w:val="24"/>
          <w:szCs w:val="24"/>
          <w:lang w:eastAsia="en-GB"/>
        </w:rPr>
        <w:t xml:space="preserve">via </w:t>
      </w:r>
      <w:proofErr w:type="spellStart"/>
      <w:r w:rsidR="00430E91" w:rsidRPr="0CF1AE7A">
        <w:rPr>
          <w:rFonts w:ascii="Arial" w:hAnsi="Arial" w:cs="Arial"/>
          <w:sz w:val="24"/>
          <w:szCs w:val="24"/>
          <w:lang w:eastAsia="en-GB"/>
        </w:rPr>
        <w:t>QuOps</w:t>
      </w:r>
      <w:proofErr w:type="spellEnd"/>
      <w:r w:rsidR="00430E91" w:rsidRPr="0CF1AE7A">
        <w:rPr>
          <w:rFonts w:ascii="Arial" w:hAnsi="Arial" w:cs="Arial"/>
          <w:sz w:val="24"/>
          <w:szCs w:val="24"/>
          <w:lang w:eastAsia="en-GB"/>
        </w:rPr>
        <w:t xml:space="preserve"> structures and </w:t>
      </w:r>
      <w:r w:rsidRPr="0CF1AE7A">
        <w:rPr>
          <w:rFonts w:ascii="Arial" w:hAnsi="Arial" w:cs="Arial"/>
          <w:sz w:val="24"/>
          <w:szCs w:val="24"/>
          <w:lang w:eastAsia="en-GB"/>
        </w:rPr>
        <w:t>in the Patient Safety and Learning Group</w:t>
      </w:r>
      <w:r w:rsidR="00D07EC8" w:rsidRPr="0CF1AE7A">
        <w:rPr>
          <w:rFonts w:ascii="Arial" w:hAnsi="Arial" w:cs="Arial"/>
          <w:sz w:val="24"/>
          <w:szCs w:val="24"/>
          <w:lang w:eastAsia="en-GB"/>
        </w:rPr>
        <w:t xml:space="preserve"> (PSLG)</w:t>
      </w:r>
      <w:r w:rsidRPr="0CF1AE7A">
        <w:rPr>
          <w:rFonts w:ascii="Arial" w:hAnsi="Arial" w:cs="Arial"/>
          <w:sz w:val="24"/>
          <w:szCs w:val="24"/>
          <w:lang w:eastAsia="en-GB"/>
        </w:rPr>
        <w:t xml:space="preserve">. </w:t>
      </w:r>
    </w:p>
    <w:p w14:paraId="594F9D0B" w14:textId="7B593EB3" w:rsidR="00F66E5E" w:rsidRDefault="004173B6" w:rsidP="00F66E5E">
      <w:pPr>
        <w:rPr>
          <w:rFonts w:ascii="Arial" w:hAnsi="Arial" w:cs="Arial"/>
          <w:sz w:val="24"/>
          <w:szCs w:val="24"/>
          <w:lang w:eastAsia="en-GB"/>
        </w:rPr>
      </w:pPr>
      <w:r w:rsidRPr="0CF1AE7A">
        <w:rPr>
          <w:rFonts w:ascii="Arial" w:hAnsi="Arial" w:cs="Arial"/>
          <w:sz w:val="24"/>
          <w:szCs w:val="24"/>
          <w:lang w:eastAsia="en-GB"/>
        </w:rPr>
        <w:t>Some e</w:t>
      </w:r>
      <w:r w:rsidR="00F66E5E" w:rsidRPr="0CF1AE7A">
        <w:rPr>
          <w:rFonts w:ascii="Arial" w:hAnsi="Arial" w:cs="Arial"/>
          <w:sz w:val="24"/>
          <w:szCs w:val="24"/>
          <w:lang w:eastAsia="en-GB"/>
        </w:rPr>
        <w:t xml:space="preserve">xamples of the learning identified </w:t>
      </w:r>
      <w:r w:rsidRPr="0CF1AE7A">
        <w:rPr>
          <w:rFonts w:ascii="Arial" w:hAnsi="Arial" w:cs="Arial"/>
          <w:sz w:val="24"/>
          <w:szCs w:val="24"/>
          <w:lang w:eastAsia="en-GB"/>
        </w:rPr>
        <w:t>were</w:t>
      </w:r>
      <w:r w:rsidR="00F66E5E" w:rsidRPr="0CF1AE7A">
        <w:rPr>
          <w:rFonts w:ascii="Arial" w:hAnsi="Arial" w:cs="Arial"/>
          <w:sz w:val="24"/>
          <w:szCs w:val="24"/>
          <w:lang w:eastAsia="en-GB"/>
        </w:rPr>
        <w:t>:</w:t>
      </w:r>
      <w:r w:rsidR="4F45CC78" w:rsidRPr="0CF1AE7A">
        <w:rPr>
          <w:rFonts w:ascii="Arial" w:hAnsi="Arial" w:cs="Arial"/>
          <w:sz w:val="24"/>
          <w:szCs w:val="24"/>
          <w:lang w:eastAsia="en-GB"/>
        </w:rPr>
        <w:t xml:space="preserve"> </w:t>
      </w:r>
    </w:p>
    <w:p w14:paraId="41D7E844" w14:textId="558B3035" w:rsidR="008641A5" w:rsidRPr="00112F4D" w:rsidRDefault="008641A5" w:rsidP="008641A5">
      <w:pPr>
        <w:pStyle w:val="ListParagraph"/>
        <w:numPr>
          <w:ilvl w:val="0"/>
          <w:numId w:val="19"/>
        </w:numPr>
        <w:tabs>
          <w:tab w:val="left" w:pos="9214"/>
        </w:tabs>
        <w:spacing w:after="0" w:line="276" w:lineRule="auto"/>
        <w:ind w:right="-330"/>
        <w:rPr>
          <w:rFonts w:ascii="Arial" w:hAnsi="Arial" w:cs="Arial"/>
          <w:sz w:val="24"/>
          <w:szCs w:val="24"/>
        </w:rPr>
      </w:pPr>
      <w:r w:rsidRPr="00112F4D">
        <w:rPr>
          <w:rFonts w:ascii="Arial" w:hAnsi="Arial" w:cs="Arial"/>
          <w:sz w:val="24"/>
          <w:szCs w:val="24"/>
        </w:rPr>
        <w:t xml:space="preserve">Risk was regularly </w:t>
      </w:r>
      <w:proofErr w:type="gramStart"/>
      <w:r w:rsidRPr="00112F4D">
        <w:rPr>
          <w:rFonts w:ascii="Arial" w:hAnsi="Arial" w:cs="Arial"/>
          <w:sz w:val="24"/>
          <w:szCs w:val="24"/>
        </w:rPr>
        <w:t>considered</w:t>
      </w:r>
      <w:r w:rsidR="00455BDD">
        <w:rPr>
          <w:rFonts w:ascii="Arial" w:hAnsi="Arial" w:cs="Arial"/>
          <w:sz w:val="24"/>
          <w:szCs w:val="24"/>
        </w:rPr>
        <w:t>,</w:t>
      </w:r>
      <w:proofErr w:type="gramEnd"/>
      <w:r w:rsidR="00455BDD">
        <w:rPr>
          <w:rFonts w:ascii="Arial" w:hAnsi="Arial" w:cs="Arial"/>
          <w:sz w:val="24"/>
          <w:szCs w:val="24"/>
        </w:rPr>
        <w:t xml:space="preserve"> </w:t>
      </w:r>
      <w:r w:rsidRPr="00112F4D">
        <w:rPr>
          <w:rFonts w:ascii="Arial" w:hAnsi="Arial" w:cs="Arial"/>
          <w:sz w:val="24"/>
          <w:szCs w:val="24"/>
        </w:rPr>
        <w:t xml:space="preserve">however </w:t>
      </w:r>
      <w:r w:rsidRPr="00455BDD">
        <w:rPr>
          <w:rFonts w:ascii="Arial" w:hAnsi="Arial" w:cs="Arial"/>
          <w:b/>
          <w:bCs/>
          <w:sz w:val="24"/>
          <w:szCs w:val="24"/>
        </w:rPr>
        <w:t>changes were not captured</w:t>
      </w:r>
      <w:r w:rsidRPr="00112F4D">
        <w:rPr>
          <w:rFonts w:ascii="Arial" w:hAnsi="Arial" w:cs="Arial"/>
          <w:sz w:val="24"/>
          <w:szCs w:val="24"/>
        </w:rPr>
        <w:t xml:space="preserve"> in the standardised </w:t>
      </w:r>
      <w:r w:rsidR="00455BDD">
        <w:rPr>
          <w:rFonts w:ascii="Arial" w:hAnsi="Arial" w:cs="Arial"/>
          <w:sz w:val="24"/>
          <w:szCs w:val="24"/>
        </w:rPr>
        <w:t xml:space="preserve">MH assessment </w:t>
      </w:r>
      <w:r w:rsidRPr="00112F4D">
        <w:rPr>
          <w:rFonts w:ascii="Arial" w:hAnsi="Arial" w:cs="Arial"/>
          <w:sz w:val="24"/>
          <w:szCs w:val="24"/>
        </w:rPr>
        <w:t>format</w:t>
      </w:r>
      <w:r w:rsidR="0086016D">
        <w:rPr>
          <w:rFonts w:ascii="Arial" w:hAnsi="Arial" w:cs="Arial"/>
          <w:sz w:val="24"/>
          <w:szCs w:val="24"/>
        </w:rPr>
        <w:t>.</w:t>
      </w:r>
    </w:p>
    <w:p w14:paraId="19A4BBD3" w14:textId="0B54F56C" w:rsidR="008641A5" w:rsidRDefault="008641A5" w:rsidP="008641A5">
      <w:pPr>
        <w:pStyle w:val="ListParagraph"/>
        <w:numPr>
          <w:ilvl w:val="0"/>
          <w:numId w:val="19"/>
        </w:numPr>
        <w:rPr>
          <w:rFonts w:ascii="Arial" w:hAnsi="Arial" w:cs="Arial"/>
          <w:sz w:val="24"/>
          <w:szCs w:val="24"/>
          <w:lang w:eastAsia="en-GB"/>
        </w:rPr>
      </w:pPr>
      <w:r w:rsidRPr="008641A5">
        <w:rPr>
          <w:rFonts w:ascii="Arial" w:hAnsi="Arial" w:cs="Arial"/>
          <w:sz w:val="24"/>
          <w:szCs w:val="24"/>
        </w:rPr>
        <w:t xml:space="preserve">The absence of a Care Coordinator meant that at the time of death the service user’s </w:t>
      </w:r>
      <w:r w:rsidRPr="007E483D">
        <w:rPr>
          <w:rFonts w:ascii="Arial" w:hAnsi="Arial" w:cs="Arial"/>
          <w:b/>
          <w:bCs/>
          <w:sz w:val="24"/>
          <w:szCs w:val="24"/>
        </w:rPr>
        <w:t>risk</w:t>
      </w:r>
      <w:r w:rsidRPr="008641A5">
        <w:rPr>
          <w:rFonts w:ascii="Arial" w:hAnsi="Arial" w:cs="Arial"/>
          <w:sz w:val="24"/>
          <w:szCs w:val="24"/>
        </w:rPr>
        <w:t xml:space="preserve"> </w:t>
      </w:r>
      <w:r w:rsidRPr="00455BDD">
        <w:rPr>
          <w:rFonts w:ascii="Arial" w:hAnsi="Arial" w:cs="Arial"/>
          <w:b/>
          <w:bCs/>
          <w:sz w:val="24"/>
          <w:szCs w:val="24"/>
        </w:rPr>
        <w:t xml:space="preserve">assessment </w:t>
      </w:r>
      <w:r w:rsidR="00455BDD" w:rsidRPr="00455BDD">
        <w:rPr>
          <w:rFonts w:ascii="Arial" w:hAnsi="Arial" w:cs="Arial"/>
          <w:b/>
          <w:bCs/>
          <w:sz w:val="24"/>
          <w:szCs w:val="24"/>
        </w:rPr>
        <w:t>was not up to date</w:t>
      </w:r>
      <w:r w:rsidRPr="008641A5">
        <w:rPr>
          <w:rFonts w:ascii="Arial" w:hAnsi="Arial" w:cs="Arial"/>
          <w:sz w:val="24"/>
          <w:szCs w:val="24"/>
        </w:rPr>
        <w:t>.</w:t>
      </w:r>
    </w:p>
    <w:p w14:paraId="67CC6B33" w14:textId="44EAEC09" w:rsidR="003414B4" w:rsidRPr="00E92C3D" w:rsidRDefault="00455BDD" w:rsidP="003414B4">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Despite </w:t>
      </w:r>
      <w:r w:rsidR="003414B4" w:rsidRPr="00E92C3D">
        <w:rPr>
          <w:rFonts w:ascii="Arial" w:hAnsi="Arial" w:cs="Arial"/>
          <w:sz w:val="24"/>
          <w:szCs w:val="24"/>
        </w:rPr>
        <w:t>contact between the C</w:t>
      </w:r>
      <w:r w:rsidR="00562587">
        <w:rPr>
          <w:rFonts w:ascii="Arial" w:hAnsi="Arial" w:cs="Arial"/>
          <w:sz w:val="24"/>
          <w:szCs w:val="24"/>
        </w:rPr>
        <w:t>ommunity Mental Health Team (C</w:t>
      </w:r>
      <w:r w:rsidR="003414B4" w:rsidRPr="00E92C3D">
        <w:rPr>
          <w:rFonts w:ascii="Arial" w:hAnsi="Arial" w:cs="Arial"/>
          <w:sz w:val="24"/>
          <w:szCs w:val="24"/>
        </w:rPr>
        <w:t>MHT</w:t>
      </w:r>
      <w:r w:rsidR="00562587">
        <w:rPr>
          <w:rFonts w:ascii="Arial" w:hAnsi="Arial" w:cs="Arial"/>
          <w:sz w:val="24"/>
          <w:szCs w:val="24"/>
        </w:rPr>
        <w:t>)</w:t>
      </w:r>
      <w:r w:rsidR="003414B4" w:rsidRPr="00E92C3D">
        <w:rPr>
          <w:rFonts w:ascii="Arial" w:hAnsi="Arial" w:cs="Arial"/>
          <w:sz w:val="24"/>
          <w:szCs w:val="24"/>
        </w:rPr>
        <w:t xml:space="preserve"> and partner agencies</w:t>
      </w:r>
      <w:r>
        <w:rPr>
          <w:rFonts w:ascii="Arial" w:hAnsi="Arial" w:cs="Arial"/>
          <w:sz w:val="24"/>
          <w:szCs w:val="24"/>
        </w:rPr>
        <w:t xml:space="preserve">, </w:t>
      </w:r>
      <w:r w:rsidR="003414B4" w:rsidRPr="00E92C3D">
        <w:rPr>
          <w:rFonts w:ascii="Arial" w:hAnsi="Arial" w:cs="Arial"/>
          <w:sz w:val="24"/>
          <w:szCs w:val="24"/>
        </w:rPr>
        <w:t xml:space="preserve">there was </w:t>
      </w:r>
      <w:r w:rsidR="003414B4" w:rsidRPr="00455BDD">
        <w:rPr>
          <w:rFonts w:ascii="Arial" w:hAnsi="Arial" w:cs="Arial"/>
          <w:b/>
          <w:bCs/>
          <w:sz w:val="24"/>
          <w:szCs w:val="24"/>
        </w:rPr>
        <w:t>no discussion of joint working initiated</w:t>
      </w:r>
      <w:r w:rsidR="003414B4" w:rsidRPr="00E92C3D">
        <w:rPr>
          <w:rFonts w:ascii="Arial" w:hAnsi="Arial" w:cs="Arial"/>
          <w:sz w:val="24"/>
          <w:szCs w:val="24"/>
        </w:rPr>
        <w:t xml:space="preserve"> by either side</w:t>
      </w:r>
      <w:r>
        <w:rPr>
          <w:rFonts w:ascii="Arial" w:hAnsi="Arial" w:cs="Arial"/>
          <w:sz w:val="24"/>
          <w:szCs w:val="24"/>
        </w:rPr>
        <w:t xml:space="preserve">, or </w:t>
      </w:r>
      <w:r w:rsidR="003414B4" w:rsidRPr="00E92C3D">
        <w:rPr>
          <w:rFonts w:ascii="Arial" w:hAnsi="Arial" w:cs="Arial"/>
          <w:sz w:val="24"/>
          <w:szCs w:val="24"/>
        </w:rPr>
        <w:t xml:space="preserve">referral to the </w:t>
      </w:r>
      <w:r w:rsidR="00F10BA2">
        <w:rPr>
          <w:rFonts w:ascii="Arial" w:hAnsi="Arial" w:cs="Arial"/>
          <w:sz w:val="24"/>
          <w:szCs w:val="24"/>
        </w:rPr>
        <w:t>Co-occurring Mental Health, Alcohol</w:t>
      </w:r>
      <w:r w:rsidR="00F26F8B">
        <w:rPr>
          <w:rFonts w:ascii="Arial" w:hAnsi="Arial" w:cs="Arial"/>
          <w:sz w:val="24"/>
          <w:szCs w:val="24"/>
        </w:rPr>
        <w:t xml:space="preserve"> and Drugs (COMHAD)</w:t>
      </w:r>
      <w:r w:rsidR="003414B4" w:rsidRPr="00E92C3D">
        <w:rPr>
          <w:rFonts w:ascii="Arial" w:hAnsi="Arial" w:cs="Arial"/>
          <w:sz w:val="24"/>
          <w:szCs w:val="24"/>
        </w:rPr>
        <w:t xml:space="preserve"> service wh</w:t>
      </w:r>
      <w:r>
        <w:rPr>
          <w:rFonts w:ascii="Arial" w:hAnsi="Arial" w:cs="Arial"/>
          <w:sz w:val="24"/>
          <w:szCs w:val="24"/>
        </w:rPr>
        <w:t>ic</w:t>
      </w:r>
      <w:r w:rsidR="003414B4" w:rsidRPr="00E92C3D">
        <w:rPr>
          <w:rFonts w:ascii="Arial" w:hAnsi="Arial" w:cs="Arial"/>
          <w:sz w:val="24"/>
          <w:szCs w:val="24"/>
        </w:rPr>
        <w:t>h could have facilitated a complex case discussion.</w:t>
      </w:r>
    </w:p>
    <w:p w14:paraId="2A77377D" w14:textId="77777777" w:rsidR="003414B4" w:rsidRPr="00E92C3D" w:rsidRDefault="003414B4" w:rsidP="003414B4">
      <w:pPr>
        <w:pStyle w:val="ListParagraph"/>
        <w:numPr>
          <w:ilvl w:val="0"/>
          <w:numId w:val="19"/>
        </w:numPr>
        <w:spacing w:after="0" w:line="276" w:lineRule="auto"/>
        <w:rPr>
          <w:rFonts w:ascii="Arial" w:hAnsi="Arial" w:cs="Arial"/>
          <w:sz w:val="24"/>
          <w:szCs w:val="24"/>
        </w:rPr>
      </w:pPr>
      <w:r w:rsidRPr="00E92C3D">
        <w:rPr>
          <w:rFonts w:ascii="Arial" w:hAnsi="Arial" w:cs="Arial"/>
          <w:sz w:val="24"/>
          <w:szCs w:val="24"/>
        </w:rPr>
        <w:t xml:space="preserve">Risk stratification to predict the likelihood of self-harm/suicide was found to be in use which is </w:t>
      </w:r>
      <w:r w:rsidRPr="00455BDD">
        <w:rPr>
          <w:rFonts w:ascii="Arial" w:hAnsi="Arial" w:cs="Arial"/>
          <w:b/>
          <w:bCs/>
          <w:sz w:val="24"/>
          <w:szCs w:val="24"/>
        </w:rPr>
        <w:t>not in line with best practice</w:t>
      </w:r>
      <w:r w:rsidRPr="00E92C3D">
        <w:rPr>
          <w:rFonts w:ascii="Arial" w:hAnsi="Arial" w:cs="Arial"/>
          <w:sz w:val="24"/>
          <w:szCs w:val="24"/>
        </w:rPr>
        <w:t>.</w:t>
      </w:r>
    </w:p>
    <w:p w14:paraId="3A987E44" w14:textId="77777777" w:rsidR="003414B4" w:rsidRPr="00E92C3D" w:rsidRDefault="003414B4" w:rsidP="003414B4">
      <w:pPr>
        <w:pStyle w:val="ListParagraph"/>
        <w:numPr>
          <w:ilvl w:val="0"/>
          <w:numId w:val="19"/>
        </w:numPr>
        <w:spacing w:after="0" w:line="276" w:lineRule="auto"/>
        <w:rPr>
          <w:rFonts w:ascii="Arial" w:hAnsi="Arial" w:cs="Arial"/>
          <w:sz w:val="24"/>
          <w:szCs w:val="24"/>
        </w:rPr>
      </w:pPr>
      <w:r w:rsidRPr="00455BDD">
        <w:rPr>
          <w:rFonts w:ascii="Arial" w:hAnsi="Arial" w:cs="Arial"/>
          <w:b/>
          <w:bCs/>
          <w:sz w:val="24"/>
          <w:szCs w:val="24"/>
        </w:rPr>
        <w:t>Care was not purposeful or co-ordinated</w:t>
      </w:r>
      <w:r w:rsidRPr="00E92C3D">
        <w:rPr>
          <w:rFonts w:ascii="Arial" w:hAnsi="Arial" w:cs="Arial"/>
          <w:sz w:val="24"/>
          <w:szCs w:val="24"/>
        </w:rPr>
        <w:t>. The care plan did not represent assessed needs or goals, or how staff could most effectively support.</w:t>
      </w:r>
    </w:p>
    <w:p w14:paraId="41FD4235" w14:textId="53710941" w:rsidR="002B64A4" w:rsidRPr="00455BDD" w:rsidRDefault="003414B4" w:rsidP="002B64A4">
      <w:pPr>
        <w:pStyle w:val="ListParagraph"/>
        <w:numPr>
          <w:ilvl w:val="0"/>
          <w:numId w:val="19"/>
        </w:numPr>
        <w:spacing w:after="0" w:line="276" w:lineRule="auto"/>
        <w:rPr>
          <w:rFonts w:ascii="Arial" w:hAnsi="Arial" w:cs="Arial"/>
          <w:sz w:val="24"/>
          <w:szCs w:val="24"/>
        </w:rPr>
      </w:pPr>
      <w:r w:rsidRPr="00E92C3D">
        <w:rPr>
          <w:rFonts w:ascii="Arial" w:hAnsi="Arial" w:cs="Arial"/>
          <w:sz w:val="24"/>
          <w:szCs w:val="24"/>
        </w:rPr>
        <w:t xml:space="preserve">Discharge and transfer of care was </w:t>
      </w:r>
      <w:r w:rsidRPr="002B64A4">
        <w:rPr>
          <w:rFonts w:ascii="Arial" w:hAnsi="Arial" w:cs="Arial"/>
          <w:b/>
          <w:bCs/>
          <w:sz w:val="24"/>
          <w:szCs w:val="24"/>
        </w:rPr>
        <w:t>not in line with expected standards</w:t>
      </w:r>
      <w:r w:rsidR="002B64A4">
        <w:rPr>
          <w:rFonts w:ascii="Arial" w:hAnsi="Arial" w:cs="Arial"/>
          <w:b/>
          <w:bCs/>
          <w:sz w:val="24"/>
          <w:szCs w:val="24"/>
        </w:rPr>
        <w:t>,</w:t>
      </w:r>
      <w:r w:rsidR="002B64A4" w:rsidRPr="002B64A4">
        <w:rPr>
          <w:rFonts w:ascii="Arial" w:hAnsi="Arial" w:cs="Arial"/>
          <w:sz w:val="24"/>
          <w:szCs w:val="24"/>
        </w:rPr>
        <w:t xml:space="preserve"> </w:t>
      </w:r>
      <w:r w:rsidR="002B64A4" w:rsidRPr="00455BDD">
        <w:rPr>
          <w:rFonts w:ascii="Arial" w:hAnsi="Arial" w:cs="Arial"/>
          <w:sz w:val="24"/>
          <w:szCs w:val="24"/>
        </w:rPr>
        <w:t>following C</w:t>
      </w:r>
      <w:r w:rsidR="00143EDC">
        <w:rPr>
          <w:rFonts w:ascii="Arial" w:hAnsi="Arial" w:cs="Arial"/>
          <w:sz w:val="24"/>
          <w:szCs w:val="24"/>
        </w:rPr>
        <w:t>are Programme Approach (C</w:t>
      </w:r>
      <w:r w:rsidR="002B64A4" w:rsidRPr="00455BDD">
        <w:rPr>
          <w:rFonts w:ascii="Arial" w:hAnsi="Arial" w:cs="Arial"/>
          <w:sz w:val="24"/>
          <w:szCs w:val="24"/>
        </w:rPr>
        <w:t>PA</w:t>
      </w:r>
      <w:r w:rsidR="00143EDC">
        <w:rPr>
          <w:rFonts w:ascii="Arial" w:hAnsi="Arial" w:cs="Arial"/>
          <w:sz w:val="24"/>
          <w:szCs w:val="24"/>
        </w:rPr>
        <w:t>)</w:t>
      </w:r>
      <w:r w:rsidR="002B64A4" w:rsidRPr="00455BDD">
        <w:rPr>
          <w:rFonts w:ascii="Arial" w:hAnsi="Arial" w:cs="Arial"/>
          <w:sz w:val="24"/>
          <w:szCs w:val="24"/>
        </w:rPr>
        <w:t xml:space="preserve"> guidance, incident reporting and record keeping.</w:t>
      </w:r>
    </w:p>
    <w:p w14:paraId="218D7175" w14:textId="77777777" w:rsidR="00114634" w:rsidRDefault="008E272D" w:rsidP="008E272D">
      <w:pPr>
        <w:pStyle w:val="ListParagraph"/>
        <w:numPr>
          <w:ilvl w:val="0"/>
          <w:numId w:val="19"/>
        </w:numPr>
        <w:rPr>
          <w:rFonts w:ascii="Arial" w:hAnsi="Arial" w:cs="Arial"/>
          <w:bCs/>
          <w:sz w:val="24"/>
          <w:szCs w:val="24"/>
        </w:rPr>
      </w:pPr>
      <w:r w:rsidRPr="002B64A4">
        <w:rPr>
          <w:rFonts w:ascii="Arial" w:hAnsi="Arial" w:cs="Arial"/>
          <w:bCs/>
          <w:sz w:val="24"/>
          <w:szCs w:val="24"/>
        </w:rPr>
        <w:t xml:space="preserve">The </w:t>
      </w:r>
      <w:r w:rsidRPr="00114634">
        <w:rPr>
          <w:rFonts w:ascii="Arial" w:hAnsi="Arial" w:cs="Arial"/>
          <w:b/>
          <w:sz w:val="24"/>
          <w:szCs w:val="24"/>
        </w:rPr>
        <w:t>patient expressed dissatisfaction</w:t>
      </w:r>
      <w:r w:rsidRPr="002B64A4">
        <w:rPr>
          <w:rFonts w:ascii="Arial" w:hAnsi="Arial" w:cs="Arial"/>
          <w:bCs/>
          <w:sz w:val="24"/>
          <w:szCs w:val="24"/>
        </w:rPr>
        <w:t xml:space="preserve"> at being woken by the visiting nurses</w:t>
      </w:r>
      <w:r w:rsidR="00114634">
        <w:rPr>
          <w:rFonts w:ascii="Arial" w:hAnsi="Arial" w:cs="Arial"/>
          <w:bCs/>
          <w:sz w:val="24"/>
          <w:szCs w:val="24"/>
        </w:rPr>
        <w:t>.</w:t>
      </w:r>
      <w:r w:rsidRPr="002B64A4">
        <w:rPr>
          <w:rFonts w:ascii="Arial" w:hAnsi="Arial" w:cs="Arial"/>
          <w:bCs/>
          <w:sz w:val="24"/>
          <w:szCs w:val="24"/>
        </w:rPr>
        <w:t xml:space="preserve"> </w:t>
      </w:r>
    </w:p>
    <w:p w14:paraId="42B12197" w14:textId="6D0CFF70" w:rsidR="008E272D" w:rsidRPr="00114634" w:rsidRDefault="00114634" w:rsidP="004A7FDC">
      <w:pPr>
        <w:pStyle w:val="ListParagraph"/>
        <w:numPr>
          <w:ilvl w:val="0"/>
          <w:numId w:val="19"/>
        </w:numPr>
        <w:rPr>
          <w:rFonts w:ascii="Arial" w:hAnsi="Arial" w:cs="Arial"/>
          <w:bCs/>
          <w:sz w:val="24"/>
          <w:szCs w:val="24"/>
        </w:rPr>
      </w:pPr>
      <w:r w:rsidRPr="00114634">
        <w:rPr>
          <w:rFonts w:ascii="Arial" w:hAnsi="Arial" w:cs="Arial"/>
          <w:bCs/>
          <w:sz w:val="24"/>
          <w:szCs w:val="24"/>
        </w:rPr>
        <w:t xml:space="preserve">A </w:t>
      </w:r>
      <w:r w:rsidR="00072ECF" w:rsidRPr="00072ECF">
        <w:rPr>
          <w:rFonts w:ascii="Arial" w:hAnsi="Arial" w:cs="Arial"/>
          <w:b/>
          <w:sz w:val="24"/>
          <w:szCs w:val="24"/>
        </w:rPr>
        <w:t>National Early Warning Score (NEWS 2)</w:t>
      </w:r>
      <w:r w:rsidR="00072ECF" w:rsidRPr="002B64A4">
        <w:rPr>
          <w:rFonts w:ascii="Arial" w:hAnsi="Arial" w:cs="Arial"/>
          <w:bCs/>
          <w:sz w:val="24"/>
          <w:szCs w:val="24"/>
        </w:rPr>
        <w:t xml:space="preserve"> </w:t>
      </w:r>
      <w:r w:rsidRPr="00114634">
        <w:rPr>
          <w:rFonts w:ascii="Arial" w:hAnsi="Arial" w:cs="Arial"/>
          <w:b/>
          <w:sz w:val="24"/>
          <w:szCs w:val="24"/>
        </w:rPr>
        <w:t xml:space="preserve">was not performed </w:t>
      </w:r>
      <w:r w:rsidR="00072ECF" w:rsidRPr="00072ECF">
        <w:rPr>
          <w:rFonts w:ascii="Arial" w:hAnsi="Arial" w:cs="Arial"/>
          <w:bCs/>
          <w:sz w:val="24"/>
          <w:szCs w:val="24"/>
        </w:rPr>
        <w:t>and clinical observations</w:t>
      </w:r>
      <w:r w:rsidR="00072ECF">
        <w:rPr>
          <w:rFonts w:ascii="Arial" w:hAnsi="Arial" w:cs="Arial"/>
          <w:bCs/>
          <w:sz w:val="24"/>
          <w:szCs w:val="24"/>
        </w:rPr>
        <w:t xml:space="preserve"> not taken,</w:t>
      </w:r>
      <w:r w:rsidR="00072ECF" w:rsidRPr="00072ECF">
        <w:rPr>
          <w:rFonts w:ascii="Arial" w:hAnsi="Arial" w:cs="Arial"/>
          <w:bCs/>
          <w:sz w:val="24"/>
          <w:szCs w:val="24"/>
        </w:rPr>
        <w:t xml:space="preserve"> </w:t>
      </w:r>
      <w:r w:rsidRPr="00114634">
        <w:rPr>
          <w:rFonts w:ascii="Arial" w:hAnsi="Arial" w:cs="Arial"/>
          <w:bCs/>
          <w:sz w:val="24"/>
          <w:szCs w:val="24"/>
        </w:rPr>
        <w:t xml:space="preserve">following </w:t>
      </w:r>
      <w:r>
        <w:rPr>
          <w:rFonts w:ascii="Arial" w:hAnsi="Arial" w:cs="Arial"/>
          <w:bCs/>
          <w:sz w:val="24"/>
          <w:szCs w:val="24"/>
        </w:rPr>
        <w:t xml:space="preserve">a </w:t>
      </w:r>
      <w:r w:rsidRPr="00114634">
        <w:rPr>
          <w:rFonts w:ascii="Arial" w:hAnsi="Arial" w:cs="Arial"/>
          <w:bCs/>
          <w:sz w:val="24"/>
          <w:szCs w:val="24"/>
        </w:rPr>
        <w:t>patients fall and</w:t>
      </w:r>
      <w:r w:rsidRPr="00114634">
        <w:rPr>
          <w:rFonts w:ascii="Arial" w:hAnsi="Arial" w:cs="Arial"/>
          <w:b/>
          <w:sz w:val="24"/>
          <w:szCs w:val="24"/>
        </w:rPr>
        <w:t xml:space="preserve"> </w:t>
      </w:r>
      <w:r w:rsidR="008E272D" w:rsidRPr="00114634">
        <w:rPr>
          <w:rFonts w:ascii="Arial" w:hAnsi="Arial" w:cs="Arial"/>
          <w:bCs/>
          <w:sz w:val="24"/>
          <w:szCs w:val="24"/>
        </w:rPr>
        <w:t xml:space="preserve">no reference </w:t>
      </w:r>
      <w:r>
        <w:rPr>
          <w:rFonts w:ascii="Arial" w:hAnsi="Arial" w:cs="Arial"/>
          <w:bCs/>
          <w:sz w:val="24"/>
          <w:szCs w:val="24"/>
        </w:rPr>
        <w:t xml:space="preserve">was </w:t>
      </w:r>
      <w:r w:rsidR="008E272D" w:rsidRPr="00114634">
        <w:rPr>
          <w:rFonts w:ascii="Arial" w:hAnsi="Arial" w:cs="Arial"/>
          <w:bCs/>
          <w:sz w:val="24"/>
          <w:szCs w:val="24"/>
        </w:rPr>
        <w:t>made to any other injuries or cause of the fall.</w:t>
      </w:r>
    </w:p>
    <w:p w14:paraId="01901BD0" w14:textId="62714C0B" w:rsidR="003414B4" w:rsidRPr="002B64A4" w:rsidRDefault="006875D2" w:rsidP="003414B4">
      <w:pPr>
        <w:pStyle w:val="ListParagraph"/>
        <w:numPr>
          <w:ilvl w:val="0"/>
          <w:numId w:val="19"/>
        </w:numPr>
        <w:rPr>
          <w:rFonts w:ascii="Arial" w:hAnsi="Arial" w:cs="Arial"/>
          <w:sz w:val="24"/>
          <w:szCs w:val="24"/>
          <w:lang w:eastAsia="en-GB"/>
        </w:rPr>
      </w:pPr>
      <w:r w:rsidRPr="002B64A4">
        <w:rPr>
          <w:rFonts w:ascii="Arial" w:hAnsi="Arial" w:cs="Arial"/>
          <w:bCs/>
          <w:color w:val="000000" w:themeColor="text1"/>
          <w:sz w:val="24"/>
          <w:szCs w:val="24"/>
        </w:rPr>
        <w:t xml:space="preserve">Patient’s physical </w:t>
      </w:r>
      <w:r w:rsidRPr="002B64A4">
        <w:rPr>
          <w:rFonts w:ascii="Arial" w:hAnsi="Arial" w:cs="Arial"/>
          <w:b/>
          <w:color w:val="000000" w:themeColor="text1"/>
          <w:sz w:val="24"/>
          <w:szCs w:val="24"/>
        </w:rPr>
        <w:t>health needs were not assessed</w:t>
      </w:r>
      <w:r w:rsidRPr="002B64A4">
        <w:rPr>
          <w:rFonts w:ascii="Arial" w:hAnsi="Arial" w:cs="Arial"/>
          <w:bCs/>
          <w:color w:val="000000" w:themeColor="text1"/>
          <w:sz w:val="24"/>
          <w:szCs w:val="24"/>
        </w:rPr>
        <w:t xml:space="preserve"> or care planned in line with expected Trust standards.  </w:t>
      </w:r>
    </w:p>
    <w:p w14:paraId="766E90C1" w14:textId="091E0214" w:rsidR="006875D2" w:rsidRPr="002B64A4" w:rsidRDefault="006875D2" w:rsidP="006875D2">
      <w:pPr>
        <w:pStyle w:val="ListParagraph"/>
        <w:numPr>
          <w:ilvl w:val="0"/>
          <w:numId w:val="19"/>
        </w:numPr>
        <w:spacing w:after="0"/>
        <w:rPr>
          <w:rFonts w:ascii="Arial" w:hAnsi="Arial" w:cs="Arial"/>
          <w:bCs/>
          <w:sz w:val="24"/>
          <w:szCs w:val="24"/>
        </w:rPr>
      </w:pPr>
      <w:r w:rsidRPr="002B64A4">
        <w:rPr>
          <w:rFonts w:ascii="Arial" w:hAnsi="Arial" w:cs="Arial"/>
          <w:bCs/>
          <w:sz w:val="24"/>
          <w:szCs w:val="24"/>
        </w:rPr>
        <w:t xml:space="preserve">There was not a </w:t>
      </w:r>
      <w:r w:rsidRPr="00114634">
        <w:rPr>
          <w:rFonts w:ascii="Arial" w:hAnsi="Arial" w:cs="Arial"/>
          <w:b/>
          <w:sz w:val="24"/>
          <w:szCs w:val="24"/>
        </w:rPr>
        <w:t>comprehensive understanding</w:t>
      </w:r>
      <w:r w:rsidRPr="002B64A4">
        <w:rPr>
          <w:rFonts w:ascii="Arial" w:hAnsi="Arial" w:cs="Arial"/>
          <w:bCs/>
          <w:sz w:val="24"/>
          <w:szCs w:val="24"/>
        </w:rPr>
        <w:t xml:space="preserve"> of </w:t>
      </w:r>
      <w:r w:rsidR="00072ECF">
        <w:rPr>
          <w:rFonts w:ascii="Arial" w:hAnsi="Arial" w:cs="Arial"/>
          <w:bCs/>
          <w:sz w:val="24"/>
          <w:szCs w:val="24"/>
        </w:rPr>
        <w:t>the p</w:t>
      </w:r>
      <w:r w:rsidRPr="002B64A4">
        <w:rPr>
          <w:rFonts w:ascii="Arial" w:hAnsi="Arial" w:cs="Arial"/>
          <w:bCs/>
          <w:sz w:val="24"/>
          <w:szCs w:val="24"/>
        </w:rPr>
        <w:t>atient’s circumstances and risk</w:t>
      </w:r>
      <w:r w:rsidR="007E483D">
        <w:rPr>
          <w:rFonts w:ascii="Arial" w:hAnsi="Arial" w:cs="Arial"/>
          <w:bCs/>
          <w:sz w:val="24"/>
          <w:szCs w:val="24"/>
        </w:rPr>
        <w:t>,</w:t>
      </w:r>
      <w:r w:rsidRPr="002B64A4">
        <w:rPr>
          <w:rFonts w:ascii="Arial" w:hAnsi="Arial" w:cs="Arial"/>
          <w:bCs/>
          <w:sz w:val="24"/>
          <w:szCs w:val="24"/>
        </w:rPr>
        <w:t xml:space="preserve"> to enable safe and effective care planning.</w:t>
      </w:r>
    </w:p>
    <w:p w14:paraId="7B6ACC6B" w14:textId="3791591F" w:rsidR="00974423" w:rsidRPr="002B64A4" w:rsidRDefault="00114634" w:rsidP="006875D2">
      <w:pPr>
        <w:pStyle w:val="ListParagraph"/>
        <w:numPr>
          <w:ilvl w:val="0"/>
          <w:numId w:val="19"/>
        </w:numPr>
        <w:spacing w:after="0"/>
        <w:rPr>
          <w:rFonts w:ascii="Arial" w:hAnsi="Arial" w:cs="Arial"/>
          <w:bCs/>
          <w:sz w:val="24"/>
          <w:szCs w:val="24"/>
        </w:rPr>
      </w:pPr>
      <w:r>
        <w:rPr>
          <w:rFonts w:ascii="Arial" w:hAnsi="Arial" w:cs="Arial"/>
          <w:bCs/>
          <w:sz w:val="24"/>
          <w:szCs w:val="24"/>
        </w:rPr>
        <w:t xml:space="preserve">The </w:t>
      </w:r>
      <w:r w:rsidR="00072ECF">
        <w:rPr>
          <w:rFonts w:ascii="Arial" w:hAnsi="Arial" w:cs="Arial"/>
          <w:bCs/>
          <w:sz w:val="24"/>
          <w:szCs w:val="24"/>
        </w:rPr>
        <w:t>p</w:t>
      </w:r>
      <w:r w:rsidR="00974423" w:rsidRPr="002B64A4">
        <w:rPr>
          <w:rFonts w:ascii="Arial" w:hAnsi="Arial" w:cs="Arial"/>
          <w:bCs/>
          <w:sz w:val="24"/>
          <w:szCs w:val="24"/>
        </w:rPr>
        <w:t xml:space="preserve">atient was allocated </w:t>
      </w:r>
      <w:r w:rsidRPr="002B64A4">
        <w:rPr>
          <w:rFonts w:ascii="Arial" w:hAnsi="Arial" w:cs="Arial"/>
          <w:bCs/>
          <w:sz w:val="24"/>
          <w:szCs w:val="24"/>
        </w:rPr>
        <w:t>to a Preceptee Registered Mental Health Nurse</w:t>
      </w:r>
      <w:r>
        <w:rPr>
          <w:rFonts w:ascii="Arial" w:hAnsi="Arial" w:cs="Arial"/>
          <w:bCs/>
          <w:sz w:val="24"/>
          <w:szCs w:val="24"/>
        </w:rPr>
        <w:t>,</w:t>
      </w:r>
      <w:r w:rsidRPr="002B64A4">
        <w:rPr>
          <w:rFonts w:ascii="Arial" w:hAnsi="Arial" w:cs="Arial"/>
          <w:bCs/>
          <w:sz w:val="24"/>
          <w:szCs w:val="24"/>
        </w:rPr>
        <w:t xml:space="preserve"> </w:t>
      </w:r>
      <w:r w:rsidR="00974423" w:rsidRPr="002B64A4">
        <w:rPr>
          <w:rFonts w:ascii="Arial" w:hAnsi="Arial" w:cs="Arial"/>
          <w:bCs/>
          <w:sz w:val="24"/>
          <w:szCs w:val="24"/>
        </w:rPr>
        <w:t>for care co-ordination</w:t>
      </w:r>
      <w:r>
        <w:rPr>
          <w:rFonts w:ascii="Arial" w:hAnsi="Arial" w:cs="Arial"/>
          <w:bCs/>
          <w:sz w:val="24"/>
          <w:szCs w:val="24"/>
        </w:rPr>
        <w:t>, however t</w:t>
      </w:r>
      <w:r w:rsidR="00974423" w:rsidRPr="002B64A4">
        <w:rPr>
          <w:rFonts w:ascii="Arial" w:hAnsi="Arial" w:cs="Arial"/>
          <w:bCs/>
          <w:sz w:val="24"/>
          <w:szCs w:val="24"/>
        </w:rPr>
        <w:t xml:space="preserve">he </w:t>
      </w:r>
      <w:r w:rsidR="00974423" w:rsidRPr="00114634">
        <w:rPr>
          <w:rFonts w:ascii="Arial" w:hAnsi="Arial" w:cs="Arial"/>
          <w:b/>
          <w:sz w:val="24"/>
          <w:szCs w:val="24"/>
        </w:rPr>
        <w:t>required arrangements were not in place</w:t>
      </w:r>
      <w:r w:rsidR="00974423" w:rsidRPr="002B64A4">
        <w:rPr>
          <w:rFonts w:ascii="Arial" w:hAnsi="Arial" w:cs="Arial"/>
          <w:bCs/>
          <w:sz w:val="24"/>
          <w:szCs w:val="24"/>
        </w:rPr>
        <w:t xml:space="preserve"> to ensure the Preceptee was effectively supervised and supported in their role.</w:t>
      </w:r>
    </w:p>
    <w:p w14:paraId="5028DEFC" w14:textId="4F01629E" w:rsidR="00974423" w:rsidRPr="002B64A4" w:rsidRDefault="00974423" w:rsidP="0CF1AE7A">
      <w:pPr>
        <w:pStyle w:val="ListParagraph"/>
        <w:numPr>
          <w:ilvl w:val="0"/>
          <w:numId w:val="19"/>
        </w:numPr>
        <w:spacing w:after="0"/>
        <w:rPr>
          <w:rFonts w:ascii="Arial" w:hAnsi="Arial" w:cs="Arial"/>
          <w:sz w:val="24"/>
          <w:szCs w:val="24"/>
        </w:rPr>
      </w:pPr>
      <w:r w:rsidRPr="0CF1AE7A">
        <w:rPr>
          <w:rFonts w:ascii="Arial" w:hAnsi="Arial" w:cs="Arial"/>
          <w:sz w:val="24"/>
          <w:szCs w:val="24"/>
        </w:rPr>
        <w:t xml:space="preserve">Despite a plan </w:t>
      </w:r>
      <w:r w:rsidR="00114634" w:rsidRPr="0CF1AE7A">
        <w:rPr>
          <w:rFonts w:ascii="Arial" w:hAnsi="Arial" w:cs="Arial"/>
          <w:sz w:val="24"/>
          <w:szCs w:val="24"/>
        </w:rPr>
        <w:t xml:space="preserve">for </w:t>
      </w:r>
      <w:r w:rsidRPr="0CF1AE7A">
        <w:rPr>
          <w:rFonts w:ascii="Arial" w:hAnsi="Arial" w:cs="Arial"/>
          <w:sz w:val="24"/>
          <w:szCs w:val="24"/>
        </w:rPr>
        <w:t>discharge</w:t>
      </w:r>
      <w:r w:rsidR="00114634" w:rsidRPr="0CF1AE7A">
        <w:rPr>
          <w:rFonts w:ascii="Arial" w:hAnsi="Arial" w:cs="Arial"/>
          <w:sz w:val="24"/>
          <w:szCs w:val="24"/>
        </w:rPr>
        <w:t xml:space="preserve"> from care co-ordination</w:t>
      </w:r>
      <w:r w:rsidRPr="0CF1AE7A">
        <w:rPr>
          <w:rFonts w:ascii="Arial" w:hAnsi="Arial" w:cs="Arial"/>
          <w:sz w:val="24"/>
          <w:szCs w:val="24"/>
        </w:rPr>
        <w:t xml:space="preserve">, Patient X was instead added to the </w:t>
      </w:r>
      <w:r w:rsidR="00114634" w:rsidRPr="0CF1AE7A">
        <w:rPr>
          <w:rFonts w:ascii="Arial" w:hAnsi="Arial" w:cs="Arial"/>
          <w:sz w:val="24"/>
          <w:szCs w:val="24"/>
        </w:rPr>
        <w:t>w</w:t>
      </w:r>
      <w:r w:rsidRPr="0CF1AE7A">
        <w:rPr>
          <w:rFonts w:ascii="Arial" w:hAnsi="Arial" w:cs="Arial"/>
          <w:sz w:val="24"/>
          <w:szCs w:val="24"/>
        </w:rPr>
        <w:t xml:space="preserve">aiting </w:t>
      </w:r>
      <w:r w:rsidR="00114634" w:rsidRPr="0CF1AE7A">
        <w:rPr>
          <w:rFonts w:ascii="Arial" w:hAnsi="Arial" w:cs="Arial"/>
          <w:sz w:val="24"/>
          <w:szCs w:val="24"/>
        </w:rPr>
        <w:t>l</w:t>
      </w:r>
      <w:r w:rsidRPr="0CF1AE7A">
        <w:rPr>
          <w:rFonts w:ascii="Arial" w:hAnsi="Arial" w:cs="Arial"/>
          <w:sz w:val="24"/>
          <w:szCs w:val="24"/>
        </w:rPr>
        <w:t>ist for re-allocation</w:t>
      </w:r>
      <w:r w:rsidR="1035490A" w:rsidRPr="0CF1AE7A">
        <w:rPr>
          <w:rFonts w:ascii="Arial" w:hAnsi="Arial" w:cs="Arial"/>
          <w:sz w:val="24"/>
          <w:szCs w:val="24"/>
        </w:rPr>
        <w:t>,</w:t>
      </w:r>
      <w:r w:rsidR="00114634" w:rsidRPr="0CF1AE7A">
        <w:rPr>
          <w:rFonts w:ascii="Arial" w:hAnsi="Arial" w:cs="Arial"/>
          <w:sz w:val="24"/>
          <w:szCs w:val="24"/>
        </w:rPr>
        <w:t xml:space="preserve"> but </w:t>
      </w:r>
      <w:r w:rsidR="00114634" w:rsidRPr="0CF1AE7A">
        <w:rPr>
          <w:rFonts w:ascii="Arial" w:hAnsi="Arial" w:cs="Arial"/>
          <w:b/>
          <w:bCs/>
          <w:sz w:val="24"/>
          <w:szCs w:val="24"/>
        </w:rPr>
        <w:t>co</w:t>
      </w:r>
      <w:r w:rsidRPr="0CF1AE7A">
        <w:rPr>
          <w:rFonts w:ascii="Arial" w:hAnsi="Arial" w:cs="Arial"/>
          <w:b/>
          <w:bCs/>
          <w:sz w:val="24"/>
          <w:szCs w:val="24"/>
        </w:rPr>
        <w:t>ntact was not maintained</w:t>
      </w:r>
      <w:r w:rsidRPr="0CF1AE7A">
        <w:rPr>
          <w:rFonts w:ascii="Arial" w:hAnsi="Arial" w:cs="Arial"/>
          <w:sz w:val="24"/>
          <w:szCs w:val="24"/>
        </w:rPr>
        <w:t xml:space="preserve"> as expected</w:t>
      </w:r>
      <w:r w:rsidR="00114634" w:rsidRPr="0CF1AE7A">
        <w:rPr>
          <w:rFonts w:ascii="Arial" w:hAnsi="Arial" w:cs="Arial"/>
          <w:sz w:val="24"/>
          <w:szCs w:val="24"/>
        </w:rPr>
        <w:t>.</w:t>
      </w:r>
      <w:r w:rsidRPr="0CF1AE7A">
        <w:rPr>
          <w:rFonts w:ascii="Arial" w:hAnsi="Arial" w:cs="Arial"/>
          <w:sz w:val="24"/>
          <w:szCs w:val="24"/>
        </w:rPr>
        <w:t xml:space="preserve"> </w:t>
      </w:r>
    </w:p>
    <w:p w14:paraId="263EBEC2" w14:textId="77777777" w:rsidR="00974423" w:rsidRPr="002B64A4" w:rsidRDefault="00974423" w:rsidP="007E483D">
      <w:pPr>
        <w:pStyle w:val="ListParagraph"/>
        <w:spacing w:after="0"/>
        <w:ind w:left="360"/>
        <w:rPr>
          <w:rFonts w:ascii="Arial" w:hAnsi="Arial" w:cs="Arial"/>
          <w:bCs/>
          <w:sz w:val="24"/>
          <w:szCs w:val="24"/>
        </w:rPr>
      </w:pPr>
    </w:p>
    <w:p w14:paraId="2B088742" w14:textId="5CC6AE7E" w:rsidR="005737E1" w:rsidRPr="00234CD2" w:rsidRDefault="005737E1" w:rsidP="0033335A">
      <w:pPr>
        <w:rPr>
          <w:rFonts w:ascii="Arial" w:hAnsi="Arial" w:cs="Arial"/>
          <w:b/>
          <w:color w:val="000000" w:themeColor="text1"/>
          <w:sz w:val="24"/>
          <w:szCs w:val="24"/>
        </w:rPr>
      </w:pPr>
      <w:r w:rsidRPr="00234CD2">
        <w:rPr>
          <w:rFonts w:ascii="Arial" w:hAnsi="Arial" w:cs="Arial"/>
          <w:b/>
          <w:color w:val="000000" w:themeColor="text1"/>
          <w:sz w:val="24"/>
          <w:szCs w:val="24"/>
        </w:rPr>
        <w:t>Next steps</w:t>
      </w:r>
    </w:p>
    <w:p w14:paraId="588FA812" w14:textId="063957FB" w:rsidR="005737E1" w:rsidRPr="003A5FB0" w:rsidRDefault="019DCEDF" w:rsidP="0033335A">
      <w:pPr>
        <w:rPr>
          <w:rFonts w:ascii="Arial" w:hAnsi="Arial" w:cs="Arial"/>
          <w:sz w:val="24"/>
          <w:szCs w:val="24"/>
        </w:rPr>
      </w:pPr>
      <w:r w:rsidRPr="0CF1AE7A">
        <w:rPr>
          <w:rFonts w:ascii="Arial" w:hAnsi="Arial" w:cs="Arial"/>
          <w:sz w:val="24"/>
          <w:szCs w:val="24"/>
        </w:rPr>
        <w:t xml:space="preserve">Several </w:t>
      </w:r>
      <w:r w:rsidR="005737E1" w:rsidRPr="0CF1AE7A">
        <w:rPr>
          <w:rFonts w:ascii="Arial" w:hAnsi="Arial" w:cs="Arial"/>
          <w:sz w:val="24"/>
          <w:szCs w:val="24"/>
        </w:rPr>
        <w:t xml:space="preserve">developments are </w:t>
      </w:r>
      <w:r w:rsidR="002B30E2" w:rsidRPr="0CF1AE7A">
        <w:rPr>
          <w:rFonts w:ascii="Arial" w:hAnsi="Arial" w:cs="Arial"/>
          <w:sz w:val="24"/>
          <w:szCs w:val="24"/>
        </w:rPr>
        <w:t>ongoing to</w:t>
      </w:r>
      <w:r w:rsidR="005737E1" w:rsidRPr="0CF1AE7A">
        <w:rPr>
          <w:rFonts w:ascii="Arial" w:hAnsi="Arial" w:cs="Arial"/>
          <w:sz w:val="24"/>
          <w:szCs w:val="24"/>
        </w:rPr>
        <w:t xml:space="preserve"> enable the workstreams in relation to mortality to </w:t>
      </w:r>
      <w:r w:rsidR="0004171F" w:rsidRPr="0CF1AE7A">
        <w:rPr>
          <w:rFonts w:ascii="Arial" w:hAnsi="Arial" w:cs="Arial"/>
          <w:sz w:val="24"/>
          <w:szCs w:val="24"/>
        </w:rPr>
        <w:t>improve and mature</w:t>
      </w:r>
      <w:r w:rsidR="005737E1" w:rsidRPr="0CF1AE7A">
        <w:rPr>
          <w:rFonts w:ascii="Arial" w:hAnsi="Arial" w:cs="Arial"/>
          <w:sz w:val="24"/>
          <w:szCs w:val="24"/>
        </w:rPr>
        <w:t xml:space="preserve">. </w:t>
      </w:r>
    </w:p>
    <w:p w14:paraId="312FAD2B" w14:textId="79DCCD40" w:rsidR="00C270AB" w:rsidRPr="00C270AB" w:rsidRDefault="00263D13" w:rsidP="00263D13">
      <w:pPr>
        <w:spacing w:after="0" w:line="276" w:lineRule="auto"/>
        <w:rPr>
          <w:rFonts w:ascii="Arial" w:hAnsi="Arial" w:cs="Arial"/>
          <w:bCs/>
          <w:sz w:val="24"/>
          <w:szCs w:val="24"/>
        </w:rPr>
      </w:pPr>
      <w:r w:rsidRPr="00C270AB">
        <w:rPr>
          <w:rFonts w:ascii="Arial" w:hAnsi="Arial" w:cs="Arial"/>
          <w:sz w:val="24"/>
          <w:szCs w:val="24"/>
        </w:rPr>
        <w:lastRenderedPageBreak/>
        <w:t xml:space="preserve">Under the </w:t>
      </w:r>
      <w:proofErr w:type="spellStart"/>
      <w:r w:rsidRPr="00C270AB">
        <w:rPr>
          <w:rFonts w:ascii="Arial" w:hAnsi="Arial" w:cs="Arial"/>
          <w:sz w:val="24"/>
          <w:szCs w:val="24"/>
        </w:rPr>
        <w:t>LfD</w:t>
      </w:r>
      <w:proofErr w:type="spellEnd"/>
      <w:r w:rsidRPr="00C270AB">
        <w:rPr>
          <w:rFonts w:ascii="Arial" w:hAnsi="Arial" w:cs="Arial"/>
          <w:sz w:val="24"/>
          <w:szCs w:val="24"/>
        </w:rPr>
        <w:t xml:space="preserve"> Framework with the National Quality Board (NQB) we are required to </w:t>
      </w:r>
      <w:r w:rsidRPr="00C270AB">
        <w:rPr>
          <w:rFonts w:ascii="Arial" w:hAnsi="Arial" w:cs="Arial"/>
          <w:bCs/>
          <w:sz w:val="24"/>
          <w:szCs w:val="24"/>
        </w:rPr>
        <w:t xml:space="preserve">further review a sample of deaths, that do not fit within the main identified categories, so we can take a broader overview of where learning and improvement is needed.  The </w:t>
      </w:r>
      <w:r w:rsidR="00C70502" w:rsidRPr="00C270AB">
        <w:rPr>
          <w:rFonts w:ascii="Arial" w:hAnsi="Arial" w:cs="Arial"/>
          <w:bCs/>
          <w:sz w:val="24"/>
          <w:szCs w:val="24"/>
        </w:rPr>
        <w:t xml:space="preserve">sample </w:t>
      </w:r>
      <w:r w:rsidR="00C270AB" w:rsidRPr="00C270AB">
        <w:rPr>
          <w:rFonts w:ascii="Arial" w:hAnsi="Arial" w:cs="Arial"/>
          <w:bCs/>
          <w:sz w:val="24"/>
          <w:szCs w:val="24"/>
        </w:rPr>
        <w:t xml:space="preserve">for the next review is currently </w:t>
      </w:r>
      <w:r w:rsidR="007E483D">
        <w:rPr>
          <w:rFonts w:ascii="Arial" w:hAnsi="Arial" w:cs="Arial"/>
          <w:bCs/>
          <w:sz w:val="24"/>
          <w:szCs w:val="24"/>
        </w:rPr>
        <w:t>underway</w:t>
      </w:r>
      <w:r w:rsidR="00C270AB" w:rsidRPr="00C270AB">
        <w:rPr>
          <w:rFonts w:ascii="Arial" w:hAnsi="Arial" w:cs="Arial"/>
          <w:bCs/>
          <w:sz w:val="24"/>
          <w:szCs w:val="24"/>
        </w:rPr>
        <w:t>.</w:t>
      </w:r>
    </w:p>
    <w:p w14:paraId="68706087" w14:textId="77777777" w:rsidR="00263D13" w:rsidRPr="00272637" w:rsidRDefault="00263D13" w:rsidP="00263D13">
      <w:pPr>
        <w:spacing w:after="0" w:line="276" w:lineRule="auto"/>
        <w:rPr>
          <w:rFonts w:ascii="Arial" w:hAnsi="Arial" w:cs="Arial"/>
          <w:color w:val="FF0000"/>
          <w:sz w:val="20"/>
          <w:szCs w:val="20"/>
        </w:rPr>
      </w:pPr>
    </w:p>
    <w:p w14:paraId="7EA86D08" w14:textId="67A5EFC9" w:rsidR="00AA1C08" w:rsidRDefault="00CB472E" w:rsidP="001459CA">
      <w:pPr>
        <w:pStyle w:val="Default"/>
      </w:pPr>
      <w:r w:rsidRPr="001459CA">
        <w:t>BDCFT</w:t>
      </w:r>
      <w:r w:rsidR="005D52DB" w:rsidRPr="001459CA">
        <w:t>’s</w:t>
      </w:r>
      <w:r w:rsidRPr="001459CA">
        <w:t xml:space="preserve"> participat</w:t>
      </w:r>
      <w:r w:rsidR="00051322" w:rsidRPr="001459CA">
        <w:t xml:space="preserve">ion </w:t>
      </w:r>
      <w:r w:rsidRPr="001459CA">
        <w:t>in the ‘Northern Alliance’ of mental health trusts</w:t>
      </w:r>
      <w:r w:rsidR="00051322" w:rsidRPr="001459CA">
        <w:t xml:space="preserve"> is continuing well.  </w:t>
      </w:r>
      <w:r w:rsidR="001459CA" w:rsidRPr="001459CA">
        <w:t>A</w:t>
      </w:r>
      <w:r w:rsidR="001459CA">
        <w:t xml:space="preserve"> </w:t>
      </w:r>
      <w:r w:rsidR="00AA1C08">
        <w:t xml:space="preserve">variety </w:t>
      </w:r>
      <w:r w:rsidR="001459CA">
        <w:t>of</w:t>
      </w:r>
      <w:r w:rsidR="00AA1C08">
        <w:t xml:space="preserve"> focussed </w:t>
      </w:r>
      <w:r w:rsidR="001459CA">
        <w:t>discussion</w:t>
      </w:r>
      <w:r w:rsidR="00AA1C08">
        <w:t xml:space="preserve"> topic</w:t>
      </w:r>
      <w:r w:rsidR="001459CA">
        <w:t xml:space="preserve">s </w:t>
      </w:r>
      <w:r w:rsidR="00AA1C08">
        <w:t>are being scheduled throughout 2026 for trusts to present the learning from their mortality cluster reviews.</w:t>
      </w:r>
    </w:p>
    <w:p w14:paraId="269F35A6" w14:textId="77777777" w:rsidR="00AA1C08" w:rsidRDefault="00AA1C08" w:rsidP="001459CA">
      <w:pPr>
        <w:pStyle w:val="Default"/>
      </w:pPr>
    </w:p>
    <w:p w14:paraId="52B89015" w14:textId="10E9AFDB" w:rsidR="00140019" w:rsidRDefault="00267923" w:rsidP="00140019">
      <w:pPr>
        <w:rPr>
          <w:rFonts w:ascii="Arial" w:hAnsi="Arial" w:cs="Arial"/>
          <w:bCs/>
          <w:sz w:val="24"/>
          <w:szCs w:val="24"/>
        </w:rPr>
      </w:pPr>
      <w:r>
        <w:rPr>
          <w:rFonts w:ascii="Arial" w:hAnsi="Arial" w:cs="Arial"/>
          <w:bCs/>
          <w:sz w:val="24"/>
          <w:szCs w:val="24"/>
        </w:rPr>
        <w:t>Although in the early stages, w</w:t>
      </w:r>
      <w:r w:rsidR="00AA1C08">
        <w:rPr>
          <w:rFonts w:ascii="Arial" w:hAnsi="Arial" w:cs="Arial"/>
          <w:bCs/>
          <w:sz w:val="24"/>
          <w:szCs w:val="24"/>
        </w:rPr>
        <w:t xml:space="preserve">e </w:t>
      </w:r>
      <w:r w:rsidR="001A25AC">
        <w:rPr>
          <w:rFonts w:ascii="Arial" w:hAnsi="Arial" w:cs="Arial"/>
          <w:bCs/>
          <w:sz w:val="24"/>
          <w:szCs w:val="24"/>
        </w:rPr>
        <w:t xml:space="preserve">have commenced </w:t>
      </w:r>
      <w:r w:rsidR="00AA1C08">
        <w:rPr>
          <w:rFonts w:ascii="Arial" w:hAnsi="Arial" w:cs="Arial"/>
          <w:bCs/>
          <w:sz w:val="24"/>
          <w:szCs w:val="24"/>
        </w:rPr>
        <w:t>c</w:t>
      </w:r>
      <w:r w:rsidR="00AA1C08" w:rsidRPr="00AA1C08">
        <w:rPr>
          <w:rFonts w:ascii="Arial" w:hAnsi="Arial" w:cs="Arial"/>
          <w:bCs/>
          <w:sz w:val="24"/>
          <w:szCs w:val="24"/>
        </w:rPr>
        <w:t>ollect</w:t>
      </w:r>
      <w:r w:rsidR="001A25AC">
        <w:rPr>
          <w:rFonts w:ascii="Arial" w:hAnsi="Arial" w:cs="Arial"/>
          <w:bCs/>
          <w:sz w:val="24"/>
          <w:szCs w:val="24"/>
        </w:rPr>
        <w:t>ing</w:t>
      </w:r>
      <w:r w:rsidR="00AA1C08">
        <w:rPr>
          <w:rFonts w:ascii="Arial" w:hAnsi="Arial" w:cs="Arial"/>
          <w:bCs/>
          <w:sz w:val="24"/>
          <w:szCs w:val="24"/>
        </w:rPr>
        <w:t xml:space="preserve"> </w:t>
      </w:r>
      <w:r w:rsidR="00AA1C08" w:rsidRPr="00AA1C08">
        <w:rPr>
          <w:rFonts w:ascii="Arial" w:hAnsi="Arial" w:cs="Arial"/>
          <w:bCs/>
          <w:sz w:val="24"/>
          <w:szCs w:val="24"/>
        </w:rPr>
        <w:t xml:space="preserve">demographic </w:t>
      </w:r>
      <w:r w:rsidR="00140019">
        <w:rPr>
          <w:rFonts w:ascii="Arial" w:hAnsi="Arial" w:cs="Arial"/>
          <w:bCs/>
          <w:sz w:val="24"/>
          <w:szCs w:val="24"/>
        </w:rPr>
        <w:t xml:space="preserve">information within </w:t>
      </w:r>
      <w:r w:rsidR="00AA1C08">
        <w:rPr>
          <w:rFonts w:ascii="Arial" w:hAnsi="Arial" w:cs="Arial"/>
          <w:bCs/>
          <w:sz w:val="24"/>
          <w:szCs w:val="24"/>
        </w:rPr>
        <w:t xml:space="preserve">our mortality </w:t>
      </w:r>
      <w:r w:rsidR="001A25AC">
        <w:rPr>
          <w:rFonts w:ascii="Arial" w:hAnsi="Arial" w:cs="Arial"/>
          <w:bCs/>
          <w:sz w:val="24"/>
          <w:szCs w:val="24"/>
        </w:rPr>
        <w:t>reporting</w:t>
      </w:r>
      <w:r w:rsidR="00AA1C08">
        <w:rPr>
          <w:rFonts w:ascii="Arial" w:hAnsi="Arial" w:cs="Arial"/>
          <w:bCs/>
          <w:sz w:val="24"/>
          <w:szCs w:val="24"/>
        </w:rPr>
        <w:t xml:space="preserve"> </w:t>
      </w:r>
      <w:r w:rsidR="001A25AC">
        <w:rPr>
          <w:rFonts w:ascii="Arial" w:hAnsi="Arial" w:cs="Arial"/>
          <w:bCs/>
          <w:sz w:val="24"/>
          <w:szCs w:val="24"/>
        </w:rPr>
        <w:t>to</w:t>
      </w:r>
      <w:r w:rsidR="00140019">
        <w:rPr>
          <w:rFonts w:ascii="Arial" w:hAnsi="Arial" w:cs="Arial"/>
          <w:bCs/>
          <w:sz w:val="24"/>
          <w:szCs w:val="24"/>
        </w:rPr>
        <w:t xml:space="preserve"> </w:t>
      </w:r>
      <w:r w:rsidR="001A25AC">
        <w:rPr>
          <w:rFonts w:ascii="Arial" w:hAnsi="Arial" w:cs="Arial"/>
          <w:bCs/>
          <w:sz w:val="24"/>
          <w:szCs w:val="24"/>
        </w:rPr>
        <w:t xml:space="preserve">better understand specific factors </w:t>
      </w:r>
      <w:r w:rsidR="00140019">
        <w:rPr>
          <w:rFonts w:ascii="Arial" w:hAnsi="Arial" w:cs="Arial"/>
          <w:bCs/>
          <w:sz w:val="24"/>
          <w:szCs w:val="24"/>
        </w:rPr>
        <w:t>(</w:t>
      </w:r>
      <w:r w:rsidR="00140019" w:rsidRPr="00140019">
        <w:rPr>
          <w:rFonts w:ascii="Arial" w:hAnsi="Arial" w:cs="Arial"/>
          <w:bCs/>
          <w:sz w:val="24"/>
          <w:szCs w:val="24"/>
        </w:rPr>
        <w:t>age, gender</w:t>
      </w:r>
      <w:r>
        <w:rPr>
          <w:rFonts w:ascii="Arial" w:hAnsi="Arial" w:cs="Arial"/>
          <w:bCs/>
          <w:sz w:val="24"/>
          <w:szCs w:val="24"/>
        </w:rPr>
        <w:t xml:space="preserve"> and</w:t>
      </w:r>
      <w:r w:rsidR="00140019" w:rsidRPr="00140019">
        <w:rPr>
          <w:rFonts w:ascii="Arial" w:hAnsi="Arial" w:cs="Arial"/>
          <w:bCs/>
          <w:sz w:val="24"/>
          <w:szCs w:val="24"/>
        </w:rPr>
        <w:t xml:space="preserve"> </w:t>
      </w:r>
      <w:r w:rsidR="00140019">
        <w:rPr>
          <w:rFonts w:ascii="Arial" w:hAnsi="Arial" w:cs="Arial"/>
          <w:bCs/>
          <w:sz w:val="24"/>
          <w:szCs w:val="24"/>
        </w:rPr>
        <w:t>race/ethnicity)</w:t>
      </w:r>
      <w:r w:rsidR="00140019" w:rsidRPr="00140019">
        <w:rPr>
          <w:rFonts w:ascii="Arial" w:hAnsi="Arial" w:cs="Arial"/>
          <w:bCs/>
          <w:sz w:val="24"/>
          <w:szCs w:val="24"/>
        </w:rPr>
        <w:t xml:space="preserve"> </w:t>
      </w:r>
      <w:r w:rsidR="001A25AC">
        <w:rPr>
          <w:rFonts w:ascii="Arial" w:hAnsi="Arial" w:cs="Arial"/>
          <w:bCs/>
          <w:sz w:val="24"/>
          <w:szCs w:val="24"/>
        </w:rPr>
        <w:t>across services</w:t>
      </w:r>
      <w:r w:rsidR="00140019">
        <w:rPr>
          <w:rFonts w:ascii="Arial" w:hAnsi="Arial" w:cs="Arial"/>
          <w:bCs/>
          <w:sz w:val="24"/>
          <w:szCs w:val="24"/>
        </w:rPr>
        <w:t xml:space="preserve"> and identify themes </w:t>
      </w:r>
      <w:r>
        <w:rPr>
          <w:rFonts w:ascii="Arial" w:hAnsi="Arial" w:cs="Arial"/>
          <w:bCs/>
          <w:sz w:val="24"/>
          <w:szCs w:val="24"/>
        </w:rPr>
        <w:t xml:space="preserve">to </w:t>
      </w:r>
      <w:r w:rsidR="00140019" w:rsidRPr="001A25AC">
        <w:rPr>
          <w:rFonts w:ascii="Arial" w:hAnsi="Arial" w:cs="Arial"/>
          <w:bCs/>
          <w:sz w:val="24"/>
          <w:szCs w:val="24"/>
        </w:rPr>
        <w:t xml:space="preserve">influence mortality </w:t>
      </w:r>
      <w:r>
        <w:rPr>
          <w:rFonts w:ascii="Arial" w:hAnsi="Arial" w:cs="Arial"/>
          <w:bCs/>
          <w:sz w:val="24"/>
          <w:szCs w:val="24"/>
        </w:rPr>
        <w:t>insights</w:t>
      </w:r>
      <w:r w:rsidR="00140019" w:rsidRPr="001A25AC">
        <w:rPr>
          <w:rFonts w:ascii="Arial" w:hAnsi="Arial" w:cs="Arial"/>
          <w:bCs/>
          <w:sz w:val="24"/>
          <w:szCs w:val="24"/>
        </w:rPr>
        <w:t>. </w:t>
      </w:r>
    </w:p>
    <w:p w14:paraId="1CAAFBCB" w14:textId="1EDACD75" w:rsidR="00AF221F" w:rsidRPr="00821C4E" w:rsidRDefault="005737E1" w:rsidP="0033335A">
      <w:pPr>
        <w:rPr>
          <w:rFonts w:ascii="Arial" w:hAnsi="Arial" w:cs="Arial"/>
          <w:b/>
          <w:sz w:val="24"/>
          <w:szCs w:val="24"/>
        </w:rPr>
      </w:pPr>
      <w:r w:rsidRPr="00821C4E">
        <w:rPr>
          <w:rFonts w:ascii="Arial" w:hAnsi="Arial" w:cs="Arial"/>
          <w:b/>
          <w:sz w:val="24"/>
          <w:szCs w:val="24"/>
        </w:rPr>
        <w:t>Conclusion</w:t>
      </w:r>
    </w:p>
    <w:p w14:paraId="1CC70EFF" w14:textId="695864EE" w:rsidR="00CC0FD7" w:rsidRPr="00B212A4" w:rsidRDefault="005737E1" w:rsidP="00CC0FD7">
      <w:pPr>
        <w:rPr>
          <w:rFonts w:ascii="Arial" w:hAnsi="Arial" w:cs="Arial"/>
          <w:sz w:val="24"/>
          <w:szCs w:val="24"/>
          <w:lang w:eastAsia="en-GB"/>
        </w:rPr>
      </w:pPr>
      <w:r w:rsidRPr="0CF1AE7A">
        <w:rPr>
          <w:rFonts w:ascii="Arial" w:hAnsi="Arial" w:cs="Arial"/>
          <w:sz w:val="24"/>
          <w:szCs w:val="24"/>
          <w:lang w:eastAsia="en-GB"/>
        </w:rPr>
        <w:t>For Q</w:t>
      </w:r>
      <w:r w:rsidR="00741FDC" w:rsidRPr="0CF1AE7A">
        <w:rPr>
          <w:rFonts w:ascii="Arial" w:hAnsi="Arial" w:cs="Arial"/>
          <w:sz w:val="24"/>
          <w:szCs w:val="24"/>
          <w:lang w:eastAsia="en-GB"/>
        </w:rPr>
        <w:t>3</w:t>
      </w:r>
      <w:r w:rsidRPr="0CF1AE7A">
        <w:rPr>
          <w:rFonts w:ascii="Arial" w:hAnsi="Arial" w:cs="Arial"/>
          <w:sz w:val="24"/>
          <w:szCs w:val="24"/>
          <w:lang w:eastAsia="en-GB"/>
        </w:rPr>
        <w:t>, 202</w:t>
      </w:r>
      <w:r w:rsidR="006337E0">
        <w:rPr>
          <w:rFonts w:ascii="Arial" w:hAnsi="Arial" w:cs="Arial"/>
          <w:sz w:val="24"/>
          <w:szCs w:val="24"/>
          <w:lang w:eastAsia="en-GB"/>
        </w:rPr>
        <w:t>5/26</w:t>
      </w:r>
      <w:r w:rsidR="1433F713" w:rsidRPr="0CF1AE7A">
        <w:rPr>
          <w:rFonts w:ascii="Arial" w:hAnsi="Arial" w:cs="Arial"/>
          <w:sz w:val="24"/>
          <w:szCs w:val="24"/>
          <w:lang w:eastAsia="en-GB"/>
        </w:rPr>
        <w:t xml:space="preserve"> there</w:t>
      </w:r>
      <w:r w:rsidRPr="0CF1AE7A">
        <w:rPr>
          <w:rFonts w:ascii="Arial" w:hAnsi="Arial" w:cs="Arial"/>
          <w:sz w:val="24"/>
          <w:szCs w:val="24"/>
          <w:lang w:eastAsia="en-GB"/>
        </w:rPr>
        <w:t xml:space="preserve"> </w:t>
      </w:r>
      <w:r w:rsidR="004576E9" w:rsidRPr="0CF1AE7A">
        <w:rPr>
          <w:rFonts w:ascii="Arial" w:hAnsi="Arial" w:cs="Arial"/>
          <w:sz w:val="24"/>
          <w:szCs w:val="24"/>
          <w:lang w:eastAsia="en-GB"/>
        </w:rPr>
        <w:t xml:space="preserve">has been a </w:t>
      </w:r>
      <w:r w:rsidR="00535A4F" w:rsidRPr="0CF1AE7A">
        <w:rPr>
          <w:rFonts w:ascii="Arial" w:hAnsi="Arial" w:cs="Arial"/>
          <w:color w:val="000000" w:themeColor="text1"/>
          <w:sz w:val="24"/>
          <w:szCs w:val="24"/>
          <w:lang w:eastAsia="en-GB"/>
        </w:rPr>
        <w:t>6</w:t>
      </w:r>
      <w:r w:rsidR="00562A06" w:rsidRPr="0CF1AE7A">
        <w:rPr>
          <w:rFonts w:ascii="Arial" w:hAnsi="Arial" w:cs="Arial"/>
          <w:color w:val="000000" w:themeColor="text1"/>
          <w:sz w:val="24"/>
          <w:szCs w:val="24"/>
          <w:lang w:eastAsia="en-GB"/>
        </w:rPr>
        <w:t>%</w:t>
      </w:r>
      <w:r w:rsidR="00147336">
        <w:rPr>
          <w:rFonts w:ascii="Arial" w:hAnsi="Arial" w:cs="Arial"/>
          <w:color w:val="000000" w:themeColor="text1"/>
          <w:sz w:val="24"/>
          <w:szCs w:val="24"/>
          <w:lang w:eastAsia="en-GB"/>
        </w:rPr>
        <w:t xml:space="preserve"> (94)</w:t>
      </w:r>
      <w:r w:rsidR="00562A06" w:rsidRPr="0CF1AE7A">
        <w:rPr>
          <w:rFonts w:ascii="Arial" w:hAnsi="Arial" w:cs="Arial"/>
          <w:color w:val="000000" w:themeColor="text1"/>
          <w:sz w:val="24"/>
          <w:szCs w:val="24"/>
          <w:lang w:eastAsia="en-GB"/>
        </w:rPr>
        <w:t xml:space="preserve"> increase</w:t>
      </w:r>
      <w:r w:rsidR="004576E9" w:rsidRPr="0CF1AE7A">
        <w:rPr>
          <w:rFonts w:ascii="Arial" w:hAnsi="Arial" w:cs="Arial"/>
          <w:color w:val="000000" w:themeColor="text1"/>
          <w:sz w:val="24"/>
          <w:szCs w:val="24"/>
          <w:lang w:eastAsia="en-GB"/>
        </w:rPr>
        <w:t xml:space="preserve"> </w:t>
      </w:r>
      <w:r w:rsidR="00B82D83" w:rsidRPr="0CF1AE7A">
        <w:rPr>
          <w:rFonts w:ascii="Arial" w:hAnsi="Arial" w:cs="Arial"/>
          <w:sz w:val="24"/>
          <w:szCs w:val="24"/>
          <w:lang w:eastAsia="en-GB"/>
        </w:rPr>
        <w:t>on the nu</w:t>
      </w:r>
      <w:r w:rsidRPr="0CF1AE7A">
        <w:rPr>
          <w:rFonts w:ascii="Arial" w:hAnsi="Arial" w:cs="Arial"/>
          <w:sz w:val="24"/>
          <w:szCs w:val="24"/>
          <w:lang w:eastAsia="en-GB"/>
        </w:rPr>
        <w:t>mber of deaths reported compared to the same period last year. There has been a</w:t>
      </w:r>
      <w:r w:rsidR="00E316D6" w:rsidRPr="0CF1AE7A">
        <w:rPr>
          <w:rFonts w:ascii="Arial" w:hAnsi="Arial" w:cs="Arial"/>
          <w:sz w:val="24"/>
          <w:szCs w:val="24"/>
          <w:lang w:eastAsia="en-GB"/>
        </w:rPr>
        <w:t xml:space="preserve"> </w:t>
      </w:r>
      <w:r w:rsidR="00CC0FD7" w:rsidRPr="0CF1AE7A">
        <w:rPr>
          <w:rFonts w:ascii="Arial" w:hAnsi="Arial" w:cs="Arial"/>
          <w:color w:val="000000" w:themeColor="text1"/>
          <w:sz w:val="24"/>
          <w:szCs w:val="24"/>
          <w:lang w:eastAsia="en-GB"/>
        </w:rPr>
        <w:t>47</w:t>
      </w:r>
      <w:r w:rsidR="005D1087" w:rsidRPr="0CF1AE7A">
        <w:rPr>
          <w:rFonts w:ascii="Arial" w:hAnsi="Arial" w:cs="Arial"/>
          <w:color w:val="000000" w:themeColor="text1"/>
          <w:sz w:val="24"/>
          <w:szCs w:val="24"/>
          <w:lang w:eastAsia="en-GB"/>
        </w:rPr>
        <w:t xml:space="preserve">% </w:t>
      </w:r>
      <w:r w:rsidR="00562A06" w:rsidRPr="0CF1AE7A">
        <w:rPr>
          <w:rFonts w:ascii="Arial" w:hAnsi="Arial" w:cs="Arial"/>
          <w:color w:val="000000" w:themeColor="text1"/>
          <w:sz w:val="24"/>
          <w:szCs w:val="24"/>
          <w:lang w:eastAsia="en-GB"/>
        </w:rPr>
        <w:t>increase</w:t>
      </w:r>
      <w:r w:rsidR="00680875" w:rsidRPr="0CF1AE7A">
        <w:rPr>
          <w:rFonts w:ascii="Arial" w:hAnsi="Arial" w:cs="Arial"/>
          <w:color w:val="000000" w:themeColor="text1"/>
          <w:sz w:val="24"/>
          <w:szCs w:val="24"/>
          <w:lang w:eastAsia="en-GB"/>
        </w:rPr>
        <w:t xml:space="preserve"> </w:t>
      </w:r>
      <w:r w:rsidR="00680875" w:rsidRPr="0CF1AE7A">
        <w:rPr>
          <w:rFonts w:ascii="Arial" w:hAnsi="Arial" w:cs="Arial"/>
          <w:sz w:val="24"/>
          <w:szCs w:val="24"/>
          <w:lang w:eastAsia="en-GB"/>
        </w:rPr>
        <w:t>i</w:t>
      </w:r>
      <w:r w:rsidRPr="0CF1AE7A">
        <w:rPr>
          <w:rFonts w:ascii="Arial" w:hAnsi="Arial" w:cs="Arial"/>
          <w:sz w:val="24"/>
          <w:szCs w:val="24"/>
          <w:lang w:eastAsia="en-GB"/>
        </w:rPr>
        <w:t xml:space="preserve">n the number of </w:t>
      </w:r>
      <w:r w:rsidR="39B5F09D" w:rsidRPr="0CF1AE7A">
        <w:rPr>
          <w:rFonts w:ascii="Arial" w:hAnsi="Arial" w:cs="Arial"/>
          <w:sz w:val="24"/>
          <w:szCs w:val="24"/>
          <w:lang w:eastAsia="en-GB"/>
        </w:rPr>
        <w:t>deaths reported</w:t>
      </w:r>
      <w:r w:rsidRPr="0CF1AE7A">
        <w:rPr>
          <w:rFonts w:ascii="Arial" w:hAnsi="Arial" w:cs="Arial"/>
          <w:sz w:val="24"/>
          <w:szCs w:val="24"/>
          <w:lang w:eastAsia="en-GB"/>
        </w:rPr>
        <w:t xml:space="preserve"> in Q</w:t>
      </w:r>
      <w:r w:rsidR="00741FDC" w:rsidRPr="0CF1AE7A">
        <w:rPr>
          <w:rFonts w:ascii="Arial" w:hAnsi="Arial" w:cs="Arial"/>
          <w:sz w:val="24"/>
          <w:szCs w:val="24"/>
          <w:lang w:eastAsia="en-GB"/>
        </w:rPr>
        <w:t>3</w:t>
      </w:r>
      <w:r w:rsidRPr="0CF1AE7A">
        <w:rPr>
          <w:rFonts w:ascii="Arial" w:hAnsi="Arial" w:cs="Arial"/>
          <w:sz w:val="24"/>
          <w:szCs w:val="24"/>
          <w:lang w:eastAsia="en-GB"/>
        </w:rPr>
        <w:t xml:space="preserve"> of 202</w:t>
      </w:r>
      <w:r w:rsidR="00B114A6" w:rsidRPr="0CF1AE7A">
        <w:rPr>
          <w:rFonts w:ascii="Arial" w:hAnsi="Arial" w:cs="Arial"/>
          <w:sz w:val="24"/>
          <w:szCs w:val="24"/>
          <w:lang w:eastAsia="en-GB"/>
        </w:rPr>
        <w:t>5</w:t>
      </w:r>
      <w:r w:rsidR="005C0924" w:rsidRPr="0CF1AE7A">
        <w:rPr>
          <w:rFonts w:ascii="Arial" w:hAnsi="Arial" w:cs="Arial"/>
          <w:sz w:val="24"/>
          <w:szCs w:val="24"/>
          <w:lang w:eastAsia="en-GB"/>
        </w:rPr>
        <w:t>/2</w:t>
      </w:r>
      <w:r w:rsidR="00B114A6" w:rsidRPr="0CF1AE7A">
        <w:rPr>
          <w:rFonts w:ascii="Arial" w:hAnsi="Arial" w:cs="Arial"/>
          <w:sz w:val="24"/>
          <w:szCs w:val="24"/>
          <w:lang w:eastAsia="en-GB"/>
        </w:rPr>
        <w:t>6</w:t>
      </w:r>
      <w:r w:rsidRPr="0CF1AE7A">
        <w:rPr>
          <w:rFonts w:ascii="Arial" w:hAnsi="Arial" w:cs="Arial"/>
          <w:sz w:val="24"/>
          <w:szCs w:val="24"/>
          <w:lang w:eastAsia="en-GB"/>
        </w:rPr>
        <w:t xml:space="preserve"> compared to Q</w:t>
      </w:r>
      <w:r w:rsidR="00741FDC" w:rsidRPr="0CF1AE7A">
        <w:rPr>
          <w:rFonts w:ascii="Arial" w:hAnsi="Arial" w:cs="Arial"/>
          <w:sz w:val="24"/>
          <w:szCs w:val="24"/>
          <w:lang w:eastAsia="en-GB"/>
        </w:rPr>
        <w:t>2</w:t>
      </w:r>
      <w:r w:rsidRPr="0CF1AE7A">
        <w:rPr>
          <w:rFonts w:ascii="Arial" w:hAnsi="Arial" w:cs="Arial"/>
          <w:sz w:val="24"/>
          <w:szCs w:val="24"/>
          <w:lang w:eastAsia="en-GB"/>
        </w:rPr>
        <w:t xml:space="preserve"> of 20</w:t>
      </w:r>
      <w:r w:rsidR="00B9064F" w:rsidRPr="0CF1AE7A">
        <w:rPr>
          <w:rFonts w:ascii="Arial" w:hAnsi="Arial" w:cs="Arial"/>
          <w:sz w:val="24"/>
          <w:szCs w:val="24"/>
          <w:lang w:eastAsia="en-GB"/>
        </w:rPr>
        <w:t>2</w:t>
      </w:r>
      <w:r w:rsidR="00F46FB3" w:rsidRPr="0CF1AE7A">
        <w:rPr>
          <w:rFonts w:ascii="Arial" w:hAnsi="Arial" w:cs="Arial"/>
          <w:sz w:val="24"/>
          <w:szCs w:val="24"/>
          <w:lang w:eastAsia="en-GB"/>
        </w:rPr>
        <w:t>5</w:t>
      </w:r>
      <w:r w:rsidR="008A6C4D" w:rsidRPr="0CF1AE7A">
        <w:rPr>
          <w:rFonts w:ascii="Arial" w:hAnsi="Arial" w:cs="Arial"/>
          <w:sz w:val="24"/>
          <w:szCs w:val="24"/>
          <w:lang w:eastAsia="en-GB"/>
        </w:rPr>
        <w:t>/2</w:t>
      </w:r>
      <w:r w:rsidR="00F46FB3" w:rsidRPr="0CF1AE7A">
        <w:rPr>
          <w:rFonts w:ascii="Arial" w:hAnsi="Arial" w:cs="Arial"/>
          <w:sz w:val="24"/>
          <w:szCs w:val="24"/>
          <w:lang w:eastAsia="en-GB"/>
        </w:rPr>
        <w:t>026</w:t>
      </w:r>
      <w:r w:rsidRPr="0CF1AE7A">
        <w:rPr>
          <w:rFonts w:ascii="Arial" w:hAnsi="Arial" w:cs="Arial"/>
          <w:sz w:val="24"/>
          <w:szCs w:val="24"/>
          <w:lang w:eastAsia="en-GB"/>
        </w:rPr>
        <w:t xml:space="preserve">. </w:t>
      </w:r>
      <w:r w:rsidR="00FA67DA" w:rsidRPr="0CF1AE7A">
        <w:rPr>
          <w:rFonts w:ascii="Arial" w:hAnsi="Arial" w:cs="Arial"/>
          <w:color w:val="000000" w:themeColor="text1"/>
          <w:sz w:val="24"/>
          <w:szCs w:val="24"/>
          <w:lang w:eastAsia="en-GB"/>
        </w:rPr>
        <w:t xml:space="preserve">This </w:t>
      </w:r>
      <w:r w:rsidR="00562A06" w:rsidRPr="0CF1AE7A">
        <w:rPr>
          <w:rFonts w:ascii="Arial" w:hAnsi="Arial" w:cs="Arial"/>
          <w:color w:val="000000" w:themeColor="text1"/>
          <w:sz w:val="24"/>
          <w:szCs w:val="24"/>
          <w:lang w:eastAsia="en-GB"/>
        </w:rPr>
        <w:t xml:space="preserve">increase </w:t>
      </w:r>
      <w:r w:rsidR="00CC0FD7" w:rsidRPr="0CF1AE7A">
        <w:rPr>
          <w:rFonts w:ascii="Arial" w:hAnsi="Arial" w:cs="Arial"/>
          <w:color w:val="000000" w:themeColor="text1"/>
          <w:sz w:val="24"/>
          <w:szCs w:val="24"/>
          <w:lang w:eastAsia="en-GB"/>
        </w:rPr>
        <w:t>is reflective of normal variation and an increase in deaths commonly seen over the winter months.</w:t>
      </w:r>
      <w:r w:rsidR="00D951C7" w:rsidRPr="0CF1AE7A">
        <w:rPr>
          <w:rFonts w:ascii="Arial" w:hAnsi="Arial" w:cs="Arial"/>
          <w:color w:val="000000" w:themeColor="text1"/>
          <w:sz w:val="24"/>
          <w:szCs w:val="24"/>
          <w:lang w:eastAsia="en-GB"/>
        </w:rPr>
        <w:t xml:space="preserve"> </w:t>
      </w:r>
      <w:r w:rsidR="00CC0FD7" w:rsidRPr="0CF1AE7A">
        <w:rPr>
          <w:rFonts w:ascii="Arial" w:hAnsi="Arial" w:cs="Arial"/>
          <w:sz w:val="24"/>
          <w:szCs w:val="24"/>
          <w:lang w:eastAsia="en-GB"/>
        </w:rPr>
        <w:t>Of the deaths in Q3</w:t>
      </w:r>
      <w:r w:rsidR="00B212A4" w:rsidRPr="0CF1AE7A">
        <w:rPr>
          <w:rFonts w:ascii="Arial" w:hAnsi="Arial" w:cs="Arial"/>
          <w:sz w:val="24"/>
          <w:szCs w:val="24"/>
          <w:lang w:eastAsia="en-GB"/>
        </w:rPr>
        <w:t>,</w:t>
      </w:r>
      <w:r w:rsidR="00CC0FD7" w:rsidRPr="0CF1AE7A">
        <w:rPr>
          <w:rFonts w:ascii="Arial" w:hAnsi="Arial" w:cs="Arial"/>
          <w:sz w:val="24"/>
          <w:szCs w:val="24"/>
          <w:lang w:eastAsia="en-GB"/>
        </w:rPr>
        <w:t xml:space="preserve"> 5</w:t>
      </w:r>
      <w:r w:rsidR="00B212A4" w:rsidRPr="0CF1AE7A">
        <w:rPr>
          <w:rFonts w:ascii="Arial" w:hAnsi="Arial" w:cs="Arial"/>
          <w:sz w:val="24"/>
          <w:szCs w:val="24"/>
          <w:lang w:eastAsia="en-GB"/>
        </w:rPr>
        <w:t>8</w:t>
      </w:r>
      <w:r w:rsidR="00CC0FD7" w:rsidRPr="0CF1AE7A">
        <w:rPr>
          <w:rFonts w:ascii="Arial" w:hAnsi="Arial" w:cs="Arial"/>
          <w:sz w:val="24"/>
          <w:szCs w:val="24"/>
          <w:lang w:eastAsia="en-GB"/>
        </w:rPr>
        <w:t>% were in older people’s services (</w:t>
      </w:r>
      <w:r w:rsidR="00B212A4" w:rsidRPr="0CF1AE7A">
        <w:rPr>
          <w:rFonts w:ascii="Arial" w:hAnsi="Arial" w:cs="Arial"/>
          <w:sz w:val="24"/>
          <w:szCs w:val="24"/>
          <w:lang w:eastAsia="en-GB"/>
        </w:rPr>
        <w:t>85</w:t>
      </w:r>
      <w:r w:rsidR="00CC0FD7" w:rsidRPr="0CF1AE7A">
        <w:rPr>
          <w:rFonts w:ascii="Arial" w:hAnsi="Arial" w:cs="Arial"/>
          <w:sz w:val="24"/>
          <w:szCs w:val="24"/>
          <w:lang w:eastAsia="en-GB"/>
        </w:rPr>
        <w:t xml:space="preserve">% expected and </w:t>
      </w:r>
      <w:r w:rsidR="00B212A4" w:rsidRPr="0CF1AE7A">
        <w:rPr>
          <w:rFonts w:ascii="Arial" w:hAnsi="Arial" w:cs="Arial"/>
          <w:sz w:val="24"/>
          <w:szCs w:val="24"/>
          <w:lang w:eastAsia="en-GB"/>
        </w:rPr>
        <w:t>1</w:t>
      </w:r>
      <w:r w:rsidR="00CC0FD7" w:rsidRPr="0CF1AE7A">
        <w:rPr>
          <w:rFonts w:ascii="Arial" w:hAnsi="Arial" w:cs="Arial"/>
          <w:sz w:val="24"/>
          <w:szCs w:val="24"/>
          <w:lang w:eastAsia="en-GB"/>
        </w:rPr>
        <w:t>5% unexpected).</w:t>
      </w:r>
      <w:r w:rsidR="00D951C7" w:rsidRPr="0CF1AE7A">
        <w:rPr>
          <w:rFonts w:ascii="Arial" w:hAnsi="Arial" w:cs="Arial"/>
          <w:sz w:val="24"/>
          <w:szCs w:val="24"/>
          <w:lang w:eastAsia="en-GB"/>
        </w:rPr>
        <w:t xml:space="preserve"> </w:t>
      </w:r>
      <w:r w:rsidR="00CC0FD7" w:rsidRPr="0CF1AE7A">
        <w:rPr>
          <w:rFonts w:ascii="Arial" w:hAnsi="Arial" w:cs="Arial"/>
          <w:sz w:val="24"/>
          <w:szCs w:val="24"/>
          <w:lang w:eastAsia="en-GB"/>
        </w:rPr>
        <w:t xml:space="preserve">The increases are predominantly due to clinical conditions and expected deaths, with unexpected deaths and suicide related deaths remaining low, as shown below: </w:t>
      </w:r>
    </w:p>
    <w:p w14:paraId="63B8AB45" w14:textId="330FC2AC" w:rsidR="00C270AB" w:rsidRDefault="00C270AB" w:rsidP="0033335A">
      <w:pPr>
        <w:rPr>
          <w:rFonts w:ascii="Arial" w:hAnsi="Arial" w:cs="Arial"/>
          <w:sz w:val="24"/>
          <w:szCs w:val="24"/>
          <w:lang w:eastAsia="en-GB"/>
        </w:rPr>
      </w:pPr>
      <w:r w:rsidRPr="0CF1AE7A">
        <w:rPr>
          <w:rFonts w:ascii="Arial" w:hAnsi="Arial" w:cs="Arial"/>
          <w:sz w:val="24"/>
          <w:szCs w:val="24"/>
          <w:lang w:eastAsia="en-GB"/>
        </w:rPr>
        <w:t>The main variance within the data represents deaths from clinical conditions, deaths of unknown cause and suspected suicide remain relatively consistent:</w:t>
      </w:r>
    </w:p>
    <w:p w14:paraId="06DB46B1" w14:textId="382C5693" w:rsidR="0CF1AE7A" w:rsidRDefault="00992217" w:rsidP="0CF1AE7A">
      <w:pPr>
        <w:rPr>
          <w:rFonts w:ascii="Arial" w:hAnsi="Arial" w:cs="Arial"/>
          <w:sz w:val="24"/>
          <w:szCs w:val="24"/>
          <w:lang w:eastAsia="en-GB"/>
        </w:rPr>
      </w:pPr>
      <w:r>
        <w:rPr>
          <w:rFonts w:ascii="Arial" w:hAnsi="Arial" w:cs="Arial"/>
          <w:sz w:val="24"/>
          <w:szCs w:val="24"/>
          <w:lang w:eastAsia="en-GB"/>
        </w:rPr>
        <w:t>Graph 1</w:t>
      </w:r>
      <w:r w:rsidR="000776CF">
        <w:rPr>
          <w:rFonts w:ascii="Arial" w:hAnsi="Arial" w:cs="Arial"/>
          <w:sz w:val="24"/>
          <w:szCs w:val="24"/>
          <w:lang w:eastAsia="en-GB"/>
        </w:rPr>
        <w:t xml:space="preserve"> – </w:t>
      </w:r>
      <w:r w:rsidR="00826A19">
        <w:rPr>
          <w:rFonts w:ascii="Arial" w:hAnsi="Arial" w:cs="Arial"/>
          <w:sz w:val="24"/>
          <w:szCs w:val="24"/>
          <w:lang w:eastAsia="en-GB"/>
        </w:rPr>
        <w:t>Monthly</w:t>
      </w:r>
      <w:r w:rsidR="00DC2DF9">
        <w:rPr>
          <w:rFonts w:ascii="Arial" w:hAnsi="Arial" w:cs="Arial"/>
          <w:sz w:val="24"/>
          <w:szCs w:val="24"/>
          <w:lang w:eastAsia="en-GB"/>
        </w:rPr>
        <w:t xml:space="preserve"> d</w:t>
      </w:r>
      <w:r w:rsidR="000776CF">
        <w:rPr>
          <w:rFonts w:ascii="Arial" w:hAnsi="Arial" w:cs="Arial"/>
          <w:sz w:val="24"/>
          <w:szCs w:val="24"/>
          <w:lang w:eastAsia="en-GB"/>
        </w:rPr>
        <w:t xml:space="preserve">eaths reported </w:t>
      </w:r>
      <w:r w:rsidR="00DC2DF9">
        <w:rPr>
          <w:rFonts w:ascii="Arial" w:hAnsi="Arial" w:cs="Arial"/>
          <w:sz w:val="24"/>
          <w:szCs w:val="24"/>
          <w:lang w:eastAsia="en-GB"/>
        </w:rPr>
        <w:t xml:space="preserve">by </w:t>
      </w:r>
      <w:r w:rsidR="000776CF">
        <w:rPr>
          <w:rFonts w:ascii="Arial" w:hAnsi="Arial" w:cs="Arial"/>
          <w:sz w:val="24"/>
          <w:szCs w:val="24"/>
          <w:lang w:eastAsia="en-GB"/>
        </w:rPr>
        <w:t>Category</w:t>
      </w:r>
    </w:p>
    <w:p w14:paraId="46FA876E" w14:textId="08F97364" w:rsidR="00CD1C0B" w:rsidRDefault="00CD1C0B"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52926B9E" wp14:editId="2EB51B64">
            <wp:extent cx="6446520" cy="2057400"/>
            <wp:effectExtent l="0" t="0" r="0" b="0"/>
            <wp:docPr id="109341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8372" cy="2064374"/>
                    </a:xfrm>
                    <a:prstGeom prst="rect">
                      <a:avLst/>
                    </a:prstGeom>
                    <a:noFill/>
                    <a:ln>
                      <a:noFill/>
                    </a:ln>
                  </pic:spPr>
                </pic:pic>
              </a:graphicData>
            </a:graphic>
          </wp:inline>
        </w:drawing>
      </w:r>
    </w:p>
    <w:p w14:paraId="334F999A" w14:textId="279CF559" w:rsidR="00DC2DF9" w:rsidRDefault="00DC2DF9" w:rsidP="00DC2DF9">
      <w:pPr>
        <w:rPr>
          <w:rFonts w:ascii="Arial" w:hAnsi="Arial" w:cs="Arial"/>
          <w:sz w:val="24"/>
          <w:szCs w:val="24"/>
          <w:lang w:eastAsia="en-GB"/>
        </w:rPr>
      </w:pPr>
      <w:r>
        <w:rPr>
          <w:rFonts w:ascii="Arial" w:hAnsi="Arial" w:cs="Arial"/>
          <w:sz w:val="24"/>
          <w:szCs w:val="24"/>
          <w:lang w:eastAsia="en-GB"/>
        </w:rPr>
        <w:t xml:space="preserve">Graph 2 – Monthly deaths reported by </w:t>
      </w:r>
      <w:r w:rsidR="002628AE">
        <w:rPr>
          <w:rFonts w:ascii="Arial" w:hAnsi="Arial" w:cs="Arial"/>
          <w:sz w:val="24"/>
          <w:szCs w:val="24"/>
          <w:lang w:eastAsia="en-GB"/>
        </w:rPr>
        <w:t>Sub</w:t>
      </w:r>
      <w:r w:rsidR="003E7B46">
        <w:rPr>
          <w:rFonts w:ascii="Arial" w:hAnsi="Arial" w:cs="Arial"/>
          <w:sz w:val="24"/>
          <w:szCs w:val="24"/>
          <w:lang w:eastAsia="en-GB"/>
        </w:rPr>
        <w:t>-</w:t>
      </w:r>
      <w:r>
        <w:rPr>
          <w:rFonts w:ascii="Arial" w:hAnsi="Arial" w:cs="Arial"/>
          <w:sz w:val="24"/>
          <w:szCs w:val="24"/>
          <w:lang w:eastAsia="en-GB"/>
        </w:rPr>
        <w:t>Category</w:t>
      </w:r>
    </w:p>
    <w:p w14:paraId="67DDBEA5" w14:textId="507219E0" w:rsidR="00272637" w:rsidRDefault="00272637" w:rsidP="0033335A">
      <w:pPr>
        <w:rPr>
          <w:rFonts w:ascii="Arial" w:hAnsi="Arial" w:cs="Arial"/>
          <w:sz w:val="24"/>
          <w:szCs w:val="24"/>
          <w:lang w:eastAsia="en-GB"/>
        </w:rPr>
      </w:pPr>
      <w:r>
        <w:rPr>
          <w:rFonts w:ascii="Arial" w:hAnsi="Arial" w:cs="Arial"/>
          <w:noProof/>
          <w:sz w:val="24"/>
          <w:szCs w:val="24"/>
          <w:lang w:eastAsia="en-GB"/>
        </w:rPr>
        <w:lastRenderedPageBreak/>
        <w:drawing>
          <wp:inline distT="0" distB="0" distL="0" distR="0" wp14:anchorId="2135E38F" wp14:editId="104FE1EC">
            <wp:extent cx="6434512" cy="2085975"/>
            <wp:effectExtent l="0" t="0" r="4445" b="0"/>
            <wp:docPr id="1592503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5282" cy="2095950"/>
                    </a:xfrm>
                    <a:prstGeom prst="rect">
                      <a:avLst/>
                    </a:prstGeom>
                    <a:noFill/>
                    <a:ln>
                      <a:noFill/>
                    </a:ln>
                  </pic:spPr>
                </pic:pic>
              </a:graphicData>
            </a:graphic>
          </wp:inline>
        </w:drawing>
      </w:r>
    </w:p>
    <w:p w14:paraId="0F177FB3" w14:textId="20734A47" w:rsidR="001B084C" w:rsidRDefault="001B084C" w:rsidP="0033335A">
      <w:pPr>
        <w:rPr>
          <w:rFonts w:ascii="Arial" w:hAnsi="Arial" w:cs="Arial"/>
          <w:sz w:val="24"/>
          <w:szCs w:val="24"/>
          <w:lang w:eastAsia="en-GB"/>
        </w:rPr>
      </w:pPr>
      <w:r>
        <w:rPr>
          <w:rFonts w:ascii="Arial" w:hAnsi="Arial" w:cs="Arial"/>
          <w:sz w:val="24"/>
          <w:szCs w:val="24"/>
          <w:lang w:eastAsia="en-GB"/>
        </w:rPr>
        <w:t xml:space="preserve">Graph 3 – </w:t>
      </w:r>
      <w:r w:rsidR="00F02D8D">
        <w:rPr>
          <w:rFonts w:ascii="Arial" w:hAnsi="Arial" w:cs="Arial"/>
          <w:sz w:val="24"/>
          <w:szCs w:val="24"/>
          <w:lang w:eastAsia="en-GB"/>
        </w:rPr>
        <w:t xml:space="preserve">Number of Deaths </w:t>
      </w:r>
      <w:r w:rsidR="00A12811">
        <w:rPr>
          <w:rFonts w:ascii="Arial" w:hAnsi="Arial" w:cs="Arial"/>
          <w:sz w:val="24"/>
          <w:szCs w:val="24"/>
          <w:lang w:eastAsia="en-GB"/>
        </w:rPr>
        <w:t xml:space="preserve">reported </w:t>
      </w:r>
      <w:r w:rsidR="00F02D8D">
        <w:rPr>
          <w:rFonts w:ascii="Arial" w:hAnsi="Arial" w:cs="Arial"/>
          <w:sz w:val="24"/>
          <w:szCs w:val="24"/>
          <w:lang w:eastAsia="en-GB"/>
        </w:rPr>
        <w:t xml:space="preserve">by </w:t>
      </w:r>
      <w:r w:rsidR="007F5C58">
        <w:rPr>
          <w:rFonts w:ascii="Arial" w:hAnsi="Arial" w:cs="Arial"/>
          <w:sz w:val="24"/>
          <w:szCs w:val="24"/>
          <w:lang w:eastAsia="en-GB"/>
        </w:rPr>
        <w:t>Quarter</w:t>
      </w:r>
    </w:p>
    <w:p w14:paraId="2EDB8E42" w14:textId="0379C18F" w:rsidR="00A56466" w:rsidRDefault="00A56466" w:rsidP="0033335A">
      <w:pPr>
        <w:rPr>
          <w:rFonts w:ascii="Arial" w:hAnsi="Arial" w:cs="Arial"/>
          <w:sz w:val="24"/>
          <w:szCs w:val="24"/>
          <w:lang w:eastAsia="en-GB"/>
        </w:rPr>
      </w:pPr>
      <w:r>
        <w:rPr>
          <w:noProof/>
        </w:rPr>
        <w:drawing>
          <wp:inline distT="0" distB="0" distL="0" distR="0" wp14:anchorId="7FF4E5FA" wp14:editId="30211FFB">
            <wp:extent cx="6448425" cy="2198327"/>
            <wp:effectExtent l="0" t="0" r="0" b="0"/>
            <wp:docPr id="1967438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3169" cy="2199944"/>
                    </a:xfrm>
                    <a:prstGeom prst="rect">
                      <a:avLst/>
                    </a:prstGeom>
                    <a:noFill/>
                    <a:ln>
                      <a:noFill/>
                    </a:ln>
                  </pic:spPr>
                </pic:pic>
              </a:graphicData>
            </a:graphic>
          </wp:inline>
        </w:drawing>
      </w:r>
    </w:p>
    <w:p w14:paraId="57279854" w14:textId="22E525A9" w:rsidR="007F5C58" w:rsidRDefault="007F5C58" w:rsidP="00863E81">
      <w:pPr>
        <w:ind w:left="720"/>
        <w:rPr>
          <w:rFonts w:ascii="Arial" w:hAnsi="Arial" w:cs="Arial"/>
          <w:sz w:val="24"/>
          <w:szCs w:val="24"/>
          <w:lang w:eastAsia="en-GB"/>
        </w:rPr>
      </w:pPr>
      <w:r>
        <w:rPr>
          <w:rFonts w:ascii="Arial" w:hAnsi="Arial" w:cs="Arial"/>
          <w:sz w:val="24"/>
          <w:szCs w:val="24"/>
          <w:lang w:eastAsia="en-GB"/>
        </w:rPr>
        <w:t xml:space="preserve">Graph 3 – Number of Deaths </w:t>
      </w:r>
      <w:r w:rsidR="00A12811">
        <w:rPr>
          <w:rFonts w:ascii="Arial" w:hAnsi="Arial" w:cs="Arial"/>
          <w:sz w:val="24"/>
          <w:szCs w:val="24"/>
          <w:lang w:eastAsia="en-GB"/>
        </w:rPr>
        <w:t xml:space="preserve">reported </w:t>
      </w:r>
      <w:r>
        <w:rPr>
          <w:rFonts w:ascii="Arial" w:hAnsi="Arial" w:cs="Arial"/>
          <w:sz w:val="24"/>
          <w:szCs w:val="24"/>
          <w:lang w:eastAsia="en-GB"/>
        </w:rPr>
        <w:t xml:space="preserve">by </w:t>
      </w:r>
      <w:r w:rsidR="00863E81">
        <w:rPr>
          <w:rFonts w:ascii="Arial" w:hAnsi="Arial" w:cs="Arial"/>
          <w:sz w:val="24"/>
          <w:szCs w:val="24"/>
          <w:lang w:eastAsia="en-GB"/>
        </w:rPr>
        <w:t>month</w:t>
      </w:r>
    </w:p>
    <w:p w14:paraId="2EEC3FCE" w14:textId="5149B50C" w:rsidR="00A56466" w:rsidRDefault="00A56466" w:rsidP="0033335A">
      <w:pPr>
        <w:rPr>
          <w:rFonts w:ascii="Arial" w:hAnsi="Arial" w:cs="Arial"/>
          <w:sz w:val="24"/>
          <w:szCs w:val="24"/>
          <w:lang w:eastAsia="en-GB"/>
        </w:rPr>
      </w:pPr>
      <w:r>
        <w:rPr>
          <w:rFonts w:ascii="Arial" w:hAnsi="Arial" w:cs="Arial"/>
          <w:noProof/>
          <w:sz w:val="24"/>
          <w:szCs w:val="24"/>
          <w:lang w:eastAsia="en-GB"/>
        </w:rPr>
        <w:drawing>
          <wp:inline distT="0" distB="0" distL="0" distR="0" wp14:anchorId="2A312540" wp14:editId="761B1C04">
            <wp:extent cx="6496050" cy="1943982"/>
            <wp:effectExtent l="0" t="0" r="0" b="0"/>
            <wp:docPr id="172395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875" cy="1964878"/>
                    </a:xfrm>
                    <a:prstGeom prst="rect">
                      <a:avLst/>
                    </a:prstGeom>
                    <a:noFill/>
                    <a:ln>
                      <a:noFill/>
                    </a:ln>
                  </pic:spPr>
                </pic:pic>
              </a:graphicData>
            </a:graphic>
          </wp:inline>
        </w:drawing>
      </w:r>
    </w:p>
    <w:p w14:paraId="50DFE896" w14:textId="39AD4AE4" w:rsidR="005737E1" w:rsidRPr="00CB472E" w:rsidRDefault="005737E1" w:rsidP="0033335A">
      <w:pPr>
        <w:rPr>
          <w:rFonts w:ascii="Arial" w:hAnsi="Arial" w:cs="Arial"/>
          <w:iCs/>
          <w:sz w:val="24"/>
          <w:szCs w:val="24"/>
          <w:lang w:eastAsia="en-GB"/>
        </w:rPr>
      </w:pPr>
      <w:r w:rsidRPr="00CB472E">
        <w:rPr>
          <w:rFonts w:ascii="Arial" w:hAnsi="Arial" w:cs="Arial"/>
          <w:sz w:val="24"/>
          <w:szCs w:val="24"/>
          <w:lang w:eastAsia="en-GB"/>
        </w:rPr>
        <w:t xml:space="preserve">Death under the care of the </w:t>
      </w:r>
      <w:r w:rsidR="009B5989">
        <w:rPr>
          <w:rFonts w:ascii="Arial" w:hAnsi="Arial" w:cs="Arial"/>
          <w:sz w:val="24"/>
          <w:szCs w:val="24"/>
          <w:lang w:eastAsia="en-GB"/>
        </w:rPr>
        <w:t>National Health Service (</w:t>
      </w:r>
      <w:r w:rsidRPr="00CB472E">
        <w:rPr>
          <w:rFonts w:ascii="Arial" w:hAnsi="Arial" w:cs="Arial"/>
          <w:sz w:val="24"/>
          <w:szCs w:val="24"/>
          <w:lang w:eastAsia="en-GB"/>
        </w:rPr>
        <w:t>NHS</w:t>
      </w:r>
      <w:r w:rsidR="009B5989">
        <w:rPr>
          <w:rFonts w:ascii="Arial" w:hAnsi="Arial" w:cs="Arial"/>
          <w:sz w:val="24"/>
          <w:szCs w:val="24"/>
          <w:lang w:eastAsia="en-GB"/>
        </w:rPr>
        <w:t>)</w:t>
      </w:r>
      <w:r w:rsidRPr="00CB472E">
        <w:rPr>
          <w:rFonts w:ascii="Arial" w:hAnsi="Arial" w:cs="Arial"/>
          <w:sz w:val="24"/>
          <w:szCs w:val="24"/>
          <w:lang w:eastAsia="en-GB"/>
        </w:rPr>
        <w:t xml:space="preserve"> is an inevitable outcome for some patients and patients may experience good and excellent care in the months or years leading up to their death. The reporting of deaths and governance arrangements support BDCFT to identify learning where care could be improved and where the good practice can be shared. The reports indicate that the learning required arises from multiple contributory factors, which are system-wide issues and </w:t>
      </w:r>
      <w:r w:rsidR="009553A6" w:rsidRPr="00CB472E">
        <w:rPr>
          <w:rFonts w:ascii="Arial" w:hAnsi="Arial" w:cs="Arial"/>
          <w:sz w:val="24"/>
          <w:szCs w:val="24"/>
          <w:lang w:eastAsia="en-GB"/>
        </w:rPr>
        <w:t>feed into quality improvement activity</w:t>
      </w:r>
      <w:r w:rsidR="00CB472E">
        <w:rPr>
          <w:rFonts w:ascii="Arial" w:hAnsi="Arial" w:cs="Arial"/>
          <w:sz w:val="24"/>
          <w:szCs w:val="24"/>
          <w:lang w:eastAsia="en-GB"/>
        </w:rPr>
        <w:t>.</w:t>
      </w:r>
      <w:r w:rsidRPr="00CB472E">
        <w:rPr>
          <w:rFonts w:ascii="Arial" w:hAnsi="Arial" w:cs="Arial"/>
          <w:sz w:val="24"/>
          <w:szCs w:val="24"/>
          <w:lang w:eastAsia="en-GB"/>
        </w:rPr>
        <w:t xml:space="preserve"> </w:t>
      </w:r>
    </w:p>
    <w:p w14:paraId="71B66B5D" w14:textId="7DC8EDD7"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t>Sallie Turner</w:t>
      </w:r>
    </w:p>
    <w:p w14:paraId="34F72349" w14:textId="76B865E4" w:rsidR="00FB2D4D" w:rsidRPr="0033335A" w:rsidRDefault="00FB2D4D" w:rsidP="00083BEE">
      <w:pPr>
        <w:spacing w:after="0" w:line="240" w:lineRule="auto"/>
        <w:rPr>
          <w:rFonts w:ascii="Arial" w:hAnsi="Arial" w:cs="Arial"/>
          <w:b/>
          <w:sz w:val="24"/>
          <w:szCs w:val="24"/>
        </w:rPr>
      </w:pPr>
      <w:r w:rsidRPr="0033335A">
        <w:rPr>
          <w:rFonts w:ascii="Arial" w:hAnsi="Arial" w:cs="Arial"/>
          <w:b/>
          <w:sz w:val="24"/>
          <w:szCs w:val="24"/>
        </w:rPr>
        <w:lastRenderedPageBreak/>
        <w:t>Mortality &amp; Duty of Candour Improvement Facilitator</w:t>
      </w:r>
    </w:p>
    <w:p w14:paraId="6B267019" w14:textId="77777777" w:rsidR="00FB2D4D" w:rsidRPr="00272B0E" w:rsidRDefault="00FB2D4D" w:rsidP="00083BEE">
      <w:pPr>
        <w:spacing w:after="0" w:line="240" w:lineRule="auto"/>
        <w:rPr>
          <w:rFonts w:ascii="Arial" w:hAnsi="Arial" w:cs="Arial"/>
          <w:b/>
          <w:sz w:val="24"/>
          <w:szCs w:val="24"/>
          <w:lang w:eastAsia="en-GB"/>
        </w:rPr>
      </w:pPr>
    </w:p>
    <w:p w14:paraId="093A20B3" w14:textId="77777777" w:rsidR="00CD1C0B" w:rsidRDefault="00CD1C0B" w:rsidP="00083BEE">
      <w:pPr>
        <w:spacing w:after="0" w:line="240" w:lineRule="auto"/>
        <w:rPr>
          <w:rFonts w:ascii="Arial" w:hAnsi="Arial" w:cs="Arial"/>
          <w:b/>
          <w:bCs/>
          <w:sz w:val="24"/>
          <w:szCs w:val="24"/>
        </w:rPr>
      </w:pPr>
      <w:r w:rsidRPr="00CD1C0B">
        <w:rPr>
          <w:rFonts w:ascii="Arial" w:hAnsi="Arial" w:cs="Arial"/>
          <w:b/>
          <w:bCs/>
          <w:sz w:val="24"/>
          <w:szCs w:val="24"/>
        </w:rPr>
        <w:t xml:space="preserve">Tricia George, </w:t>
      </w:r>
    </w:p>
    <w:p w14:paraId="2ABADF4E" w14:textId="6B2F1B60" w:rsidR="00CD1C0B" w:rsidRPr="00CD1C0B" w:rsidRDefault="00CD1C0B" w:rsidP="00083BEE">
      <w:pPr>
        <w:spacing w:after="0" w:line="240" w:lineRule="auto"/>
        <w:rPr>
          <w:rFonts w:ascii="Arial" w:hAnsi="Arial" w:cs="Arial"/>
          <w:b/>
          <w:bCs/>
          <w:sz w:val="24"/>
          <w:szCs w:val="24"/>
          <w:lang w:eastAsia="en-GB"/>
        </w:rPr>
      </w:pPr>
      <w:r w:rsidRPr="00CD1C0B">
        <w:rPr>
          <w:rFonts w:ascii="Arial" w:hAnsi="Arial" w:cs="Arial"/>
          <w:b/>
          <w:bCs/>
          <w:sz w:val="24"/>
          <w:szCs w:val="24"/>
        </w:rPr>
        <w:t>Head of Patient Safety/Patient Safety Specialist</w:t>
      </w:r>
      <w:r w:rsidRPr="00CD1C0B">
        <w:rPr>
          <w:rFonts w:ascii="Arial" w:hAnsi="Arial" w:cs="Arial"/>
          <w:b/>
          <w:bCs/>
          <w:sz w:val="24"/>
          <w:szCs w:val="24"/>
          <w:lang w:eastAsia="en-GB"/>
        </w:rPr>
        <w:t xml:space="preserve"> </w:t>
      </w:r>
    </w:p>
    <w:p w14:paraId="431DD274" w14:textId="702C3661" w:rsidR="005737E1" w:rsidRPr="00272B0E" w:rsidRDefault="00CD1C0B" w:rsidP="00083BEE">
      <w:pPr>
        <w:spacing w:after="0" w:line="240" w:lineRule="auto"/>
        <w:rPr>
          <w:rFonts w:ascii="Arial" w:hAnsi="Arial" w:cs="Arial"/>
          <w:sz w:val="24"/>
          <w:szCs w:val="24"/>
          <w:lang w:eastAsia="en-GB"/>
        </w:rPr>
      </w:pPr>
      <w:r>
        <w:rPr>
          <w:rFonts w:ascii="Arial" w:hAnsi="Arial" w:cs="Arial"/>
          <w:b/>
          <w:sz w:val="24"/>
          <w:szCs w:val="24"/>
          <w:lang w:eastAsia="en-GB"/>
        </w:rPr>
        <w:t>15</w:t>
      </w:r>
      <w:r w:rsidR="00584497">
        <w:rPr>
          <w:rFonts w:ascii="Arial" w:hAnsi="Arial" w:cs="Arial"/>
          <w:b/>
          <w:sz w:val="24"/>
          <w:szCs w:val="24"/>
          <w:lang w:eastAsia="en-GB"/>
        </w:rPr>
        <w:t xml:space="preserve"> January</w:t>
      </w:r>
      <w:r w:rsidR="00CC293F" w:rsidRPr="00272B0E">
        <w:rPr>
          <w:rFonts w:ascii="Arial" w:hAnsi="Arial" w:cs="Arial"/>
          <w:b/>
          <w:sz w:val="24"/>
          <w:szCs w:val="24"/>
          <w:lang w:eastAsia="en-GB"/>
        </w:rPr>
        <w:t xml:space="preserve"> </w:t>
      </w:r>
      <w:r w:rsidR="008171C0" w:rsidRPr="00272B0E">
        <w:rPr>
          <w:rFonts w:ascii="Arial" w:hAnsi="Arial" w:cs="Arial"/>
          <w:b/>
          <w:sz w:val="24"/>
          <w:szCs w:val="24"/>
          <w:lang w:eastAsia="en-GB"/>
        </w:rPr>
        <w:t>202</w:t>
      </w:r>
      <w:r w:rsidR="00620053" w:rsidRPr="00272B0E">
        <w:rPr>
          <w:rFonts w:ascii="Arial" w:hAnsi="Arial" w:cs="Arial"/>
          <w:b/>
          <w:sz w:val="24"/>
          <w:szCs w:val="24"/>
          <w:lang w:eastAsia="en-GB"/>
        </w:rPr>
        <w:t>5</w:t>
      </w:r>
    </w:p>
    <w:sectPr w:rsidR="005737E1" w:rsidRPr="00272B0E" w:rsidSect="00096A5A">
      <w:headerReference w:type="default" r:id="rId12"/>
      <w:footerReference w:type="default" r:id="rId13"/>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FC2C" w14:textId="77777777" w:rsidR="00133506" w:rsidRDefault="00133506" w:rsidP="00C62872">
      <w:pPr>
        <w:spacing w:after="0" w:line="240" w:lineRule="auto"/>
      </w:pPr>
      <w:r>
        <w:separator/>
      </w:r>
    </w:p>
  </w:endnote>
  <w:endnote w:type="continuationSeparator" w:id="0">
    <w:p w14:paraId="0010BFFB" w14:textId="77777777" w:rsidR="00133506" w:rsidRDefault="00133506" w:rsidP="00C6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51E" w14:textId="767DE3C6" w:rsidR="000D6FCC" w:rsidRPr="00E42D64" w:rsidRDefault="000D6FCC" w:rsidP="00E42D64">
    <w:pPr>
      <w:pStyle w:val="Footer"/>
      <w:tabs>
        <w:tab w:val="clear" w:pos="9026"/>
        <w:tab w:val="right" w:pos="9922"/>
      </w:tabs>
      <w:rPr>
        <w:rFonts w:ascii="Arial" w:eastAsia="Times New Roman" w:hAnsi="Arial" w:cs="Times New Roman"/>
        <w:color w:val="262626"/>
        <w:sz w:val="24"/>
        <w:szCs w:val="24"/>
        <w:lang w:eastAsia="en-GB"/>
      </w:rPr>
    </w:pPr>
    <w:r>
      <w:rPr>
        <w:rFonts w:cs="Arial"/>
        <w:noProof/>
        <w:color w:val="000000"/>
      </w:rPr>
      <w:drawing>
        <wp:anchor distT="0" distB="0" distL="114300" distR="114300" simplePos="0" relativeHeight="251658241" behindDoc="0" locked="0" layoutInCell="1" allowOverlap="1" wp14:anchorId="7B3F097E" wp14:editId="1D260C7A">
          <wp:simplePos x="0" y="0"/>
          <wp:positionH relativeFrom="column">
            <wp:posOffset>-1270</wp:posOffset>
          </wp:positionH>
          <wp:positionV relativeFrom="paragraph">
            <wp:posOffset>-208280</wp:posOffset>
          </wp:positionV>
          <wp:extent cx="2077720" cy="349250"/>
          <wp:effectExtent l="0" t="0" r="0" b="0"/>
          <wp:wrapNone/>
          <wp:docPr id="2" name="Picture 2" descr="http://connect.bdct.local/Homepage%20Images/B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bdct.local/Homepage%20Images/BLT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349250"/>
                  </a:xfrm>
                  <a:prstGeom prst="rect">
                    <a:avLst/>
                  </a:prstGeom>
                  <a:noFill/>
                  <a:ln>
                    <a:noFill/>
                  </a:ln>
                </pic:spPr>
              </pic:pic>
            </a:graphicData>
          </a:graphic>
        </wp:anchor>
      </w:drawing>
    </w:r>
    <w:r w:rsidR="004152AD" w:rsidRPr="004152AD">
      <w:rPr>
        <w:rFonts w:ascii="Arial" w:eastAsia="Times New Roman" w:hAnsi="Arial" w:cs="Times New Roman"/>
        <w:color w:val="262626"/>
        <w:sz w:val="24"/>
        <w:szCs w:val="24"/>
        <w:lang w:eastAsia="en-GB"/>
      </w:rPr>
      <w:t xml:space="preserve"> </w:t>
    </w:r>
    <w:sdt>
      <w:sdtPr>
        <w:rPr>
          <w:rFonts w:ascii="Arial" w:eastAsia="Times New Roman" w:hAnsi="Arial" w:cs="Times New Roman"/>
          <w:color w:val="262626"/>
          <w:sz w:val="24"/>
          <w:szCs w:val="24"/>
          <w:lang w:eastAsia="en-GB"/>
        </w:rPr>
        <w:id w:val="-790830572"/>
        <w:docPartObj>
          <w:docPartGallery w:val="Page Numbers (Bottom of Page)"/>
          <w:docPartUnique/>
        </w:docPartObj>
      </w:sdtPr>
      <w:sdtEndPr/>
      <w:sdtContent>
        <w:sdt>
          <w:sdtPr>
            <w:rPr>
              <w:rFonts w:ascii="Arial" w:eastAsia="Times New Roman" w:hAnsi="Arial" w:cs="Times New Roman"/>
              <w:color w:val="262626"/>
              <w:sz w:val="24"/>
              <w:szCs w:val="24"/>
              <w:lang w:eastAsia="en-GB"/>
            </w:rPr>
            <w:id w:val="-1769616900"/>
            <w:docPartObj>
              <w:docPartGallery w:val="Page Numbers (Top of Page)"/>
              <w:docPartUnique/>
            </w:docPartObj>
          </w:sdtPr>
          <w:sdtEndPr/>
          <w:sdtContent>
            <w:r w:rsidR="00E42D64">
              <w:rPr>
                <w:rFonts w:ascii="Arial" w:eastAsia="Times New Roman" w:hAnsi="Arial" w:cs="Times New Roman"/>
                <w:color w:val="262626"/>
                <w:sz w:val="24"/>
                <w:szCs w:val="24"/>
                <w:lang w:eastAsia="en-GB"/>
              </w:rPr>
              <w:tab/>
            </w:r>
            <w:r w:rsidR="00E42D64">
              <w:rPr>
                <w:rFonts w:ascii="Arial" w:eastAsia="Times New Roman" w:hAnsi="Arial" w:cs="Times New Roman"/>
                <w:color w:val="262626"/>
                <w:sz w:val="24"/>
                <w:szCs w:val="24"/>
                <w:lang w:eastAsia="en-GB"/>
              </w:rPr>
              <w:tab/>
            </w:r>
            <w:r w:rsidR="004152AD" w:rsidRPr="004152AD">
              <w:rPr>
                <w:rFonts w:ascii="Arial" w:eastAsia="Times New Roman" w:hAnsi="Arial" w:cs="Times New Roman"/>
                <w:color w:val="262626"/>
                <w:sz w:val="24"/>
                <w:szCs w:val="24"/>
                <w:lang w:eastAsia="en-GB"/>
              </w:rPr>
              <w:t xml:space="preserve">Page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PAGE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1</w:t>
            </w:r>
            <w:r w:rsidR="004152AD" w:rsidRPr="004152AD">
              <w:rPr>
                <w:rFonts w:ascii="Arial" w:eastAsia="Times New Roman" w:hAnsi="Arial" w:cs="Times New Roman"/>
                <w:b/>
                <w:bCs/>
                <w:color w:val="262626"/>
                <w:sz w:val="24"/>
                <w:szCs w:val="24"/>
                <w:lang w:eastAsia="en-GB"/>
              </w:rPr>
              <w:fldChar w:fldCharType="end"/>
            </w:r>
            <w:r w:rsidR="004152AD" w:rsidRPr="004152AD">
              <w:rPr>
                <w:rFonts w:ascii="Arial" w:eastAsia="Times New Roman" w:hAnsi="Arial" w:cs="Times New Roman"/>
                <w:color w:val="262626"/>
                <w:sz w:val="24"/>
                <w:szCs w:val="24"/>
                <w:lang w:eastAsia="en-GB"/>
              </w:rPr>
              <w:t xml:space="preserve"> of </w:t>
            </w:r>
            <w:r w:rsidR="004152AD" w:rsidRPr="004152AD">
              <w:rPr>
                <w:rFonts w:ascii="Arial" w:eastAsia="Times New Roman" w:hAnsi="Arial" w:cs="Times New Roman"/>
                <w:b/>
                <w:bCs/>
                <w:color w:val="262626"/>
                <w:sz w:val="24"/>
                <w:szCs w:val="24"/>
                <w:lang w:eastAsia="en-GB"/>
              </w:rPr>
              <w:fldChar w:fldCharType="begin"/>
            </w:r>
            <w:r w:rsidR="004152AD" w:rsidRPr="004152AD">
              <w:rPr>
                <w:rFonts w:ascii="Arial" w:eastAsia="Times New Roman" w:hAnsi="Arial" w:cs="Times New Roman"/>
                <w:b/>
                <w:bCs/>
                <w:color w:val="262626"/>
                <w:sz w:val="24"/>
                <w:szCs w:val="24"/>
                <w:lang w:eastAsia="en-GB"/>
              </w:rPr>
              <w:instrText xml:space="preserve"> NUMPAGES  </w:instrText>
            </w:r>
            <w:r w:rsidR="004152AD" w:rsidRPr="004152AD">
              <w:rPr>
                <w:rFonts w:ascii="Arial" w:eastAsia="Times New Roman" w:hAnsi="Arial" w:cs="Times New Roman"/>
                <w:b/>
                <w:bCs/>
                <w:color w:val="262626"/>
                <w:sz w:val="24"/>
                <w:szCs w:val="24"/>
                <w:lang w:eastAsia="en-GB"/>
              </w:rPr>
              <w:fldChar w:fldCharType="separate"/>
            </w:r>
            <w:r w:rsidR="004152AD" w:rsidRPr="004152AD">
              <w:rPr>
                <w:rFonts w:ascii="Arial" w:eastAsia="Times New Roman" w:hAnsi="Arial" w:cs="Times New Roman"/>
                <w:b/>
                <w:bCs/>
                <w:color w:val="262626"/>
                <w:sz w:val="24"/>
                <w:szCs w:val="24"/>
                <w:lang w:eastAsia="en-GB"/>
              </w:rPr>
              <w:t>4</w:t>
            </w:r>
            <w:r w:rsidR="004152AD" w:rsidRPr="004152AD">
              <w:rPr>
                <w:rFonts w:ascii="Arial" w:eastAsia="Times New Roman" w:hAnsi="Arial" w:cs="Times New Roman"/>
                <w:b/>
                <w:bCs/>
                <w:color w:val="262626"/>
                <w:sz w:val="24"/>
                <w:szCs w:val="24"/>
                <w:lang w:eastAsia="en-G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027C" w14:textId="77777777" w:rsidR="00133506" w:rsidRDefault="00133506" w:rsidP="00C62872">
      <w:pPr>
        <w:spacing w:after="0" w:line="240" w:lineRule="auto"/>
      </w:pPr>
      <w:r>
        <w:separator/>
      </w:r>
    </w:p>
  </w:footnote>
  <w:footnote w:type="continuationSeparator" w:id="0">
    <w:p w14:paraId="75271292" w14:textId="77777777" w:rsidR="00133506" w:rsidRDefault="00133506" w:rsidP="00C6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049C" w14:textId="67781B61" w:rsidR="00C62872" w:rsidRDefault="00C62872">
    <w:pPr>
      <w:pStyle w:val="Header"/>
    </w:pPr>
    <w:r>
      <w:rPr>
        <w:noProof/>
      </w:rPr>
      <w:drawing>
        <wp:anchor distT="0" distB="0" distL="114300" distR="114300" simplePos="0" relativeHeight="251658240" behindDoc="0" locked="0" layoutInCell="1" allowOverlap="1" wp14:anchorId="05BF35AE" wp14:editId="1D6888B3">
          <wp:simplePos x="0" y="0"/>
          <wp:positionH relativeFrom="page">
            <wp:posOffset>4343400</wp:posOffset>
          </wp:positionH>
          <wp:positionV relativeFrom="paragraph">
            <wp:posOffset>-431165</wp:posOffset>
          </wp:positionV>
          <wp:extent cx="3191510" cy="1095375"/>
          <wp:effectExtent l="0" t="0" r="8890" b="9525"/>
          <wp:wrapSquare wrapText="bothSides"/>
          <wp:docPr id="1" name="Picture 1" descr="New logo (office use) - Bradford District Care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office use) - Bradford District Care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23571"/>
                  <a:stretch/>
                </pic:blipFill>
                <pic:spPr bwMode="auto">
                  <a:xfrm>
                    <a:off x="0" y="0"/>
                    <a:ext cx="3191510"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7ABF"/>
    <w:multiLevelType w:val="hybridMultilevel"/>
    <w:tmpl w:val="AE00A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C919AF"/>
    <w:multiLevelType w:val="hybridMultilevel"/>
    <w:tmpl w:val="3E0A7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175D28"/>
    <w:multiLevelType w:val="hybridMultilevel"/>
    <w:tmpl w:val="C6789B3E"/>
    <w:lvl w:ilvl="0" w:tplc="93B4F6F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383977"/>
    <w:multiLevelType w:val="hybridMultilevel"/>
    <w:tmpl w:val="8FDA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E681F"/>
    <w:multiLevelType w:val="hybridMultilevel"/>
    <w:tmpl w:val="60EE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25521"/>
    <w:multiLevelType w:val="hybridMultilevel"/>
    <w:tmpl w:val="5874ABF4"/>
    <w:lvl w:ilvl="0" w:tplc="F0E656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47A66"/>
    <w:multiLevelType w:val="hybridMultilevel"/>
    <w:tmpl w:val="CCE86B4A"/>
    <w:lvl w:ilvl="0" w:tplc="FE7A4C9A">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0A7AE0"/>
    <w:multiLevelType w:val="hybridMultilevel"/>
    <w:tmpl w:val="2C3EB310"/>
    <w:lvl w:ilvl="0" w:tplc="FE7A4C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5434D"/>
    <w:multiLevelType w:val="hybridMultilevel"/>
    <w:tmpl w:val="13C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C0A7A"/>
    <w:multiLevelType w:val="hybridMultilevel"/>
    <w:tmpl w:val="4942B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5B69"/>
    <w:multiLevelType w:val="hybridMultilevel"/>
    <w:tmpl w:val="CC30DFAE"/>
    <w:lvl w:ilvl="0" w:tplc="5914C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60242"/>
    <w:multiLevelType w:val="hybridMultilevel"/>
    <w:tmpl w:val="B03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05E17"/>
    <w:multiLevelType w:val="hybridMultilevel"/>
    <w:tmpl w:val="34061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55813"/>
    <w:multiLevelType w:val="hybridMultilevel"/>
    <w:tmpl w:val="FAE4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145E18"/>
    <w:multiLevelType w:val="hybridMultilevel"/>
    <w:tmpl w:val="0A90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A48DF"/>
    <w:multiLevelType w:val="hybridMultilevel"/>
    <w:tmpl w:val="9CC0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C38D3"/>
    <w:multiLevelType w:val="hybridMultilevel"/>
    <w:tmpl w:val="6C1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63EFF"/>
    <w:multiLevelType w:val="hybridMultilevel"/>
    <w:tmpl w:val="09DC8B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B629B"/>
    <w:multiLevelType w:val="hybridMultilevel"/>
    <w:tmpl w:val="93AA8A30"/>
    <w:lvl w:ilvl="0" w:tplc="ED569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CB3A1A"/>
    <w:multiLevelType w:val="hybridMultilevel"/>
    <w:tmpl w:val="A3CE95CA"/>
    <w:lvl w:ilvl="0" w:tplc="08090001">
      <w:start w:val="1"/>
      <w:numFmt w:val="bullet"/>
      <w:lvlText w:val=""/>
      <w:lvlJc w:val="left"/>
      <w:pPr>
        <w:ind w:left="720" w:hanging="360"/>
      </w:pPr>
      <w:rPr>
        <w:rFonts w:ascii="Symbol" w:hAnsi="Symbol" w:hint="default"/>
      </w:rPr>
    </w:lvl>
    <w:lvl w:ilvl="1" w:tplc="9480A06E">
      <w:start w:val="5"/>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B26A0"/>
    <w:multiLevelType w:val="hybridMultilevel"/>
    <w:tmpl w:val="29A0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3295A"/>
    <w:multiLevelType w:val="hybridMultilevel"/>
    <w:tmpl w:val="494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262DD7"/>
    <w:multiLevelType w:val="hybridMultilevel"/>
    <w:tmpl w:val="A3E29F7C"/>
    <w:lvl w:ilvl="0" w:tplc="18860B7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3" w15:restartNumberingAfterBreak="0">
    <w:nsid w:val="743C0119"/>
    <w:multiLevelType w:val="hybridMultilevel"/>
    <w:tmpl w:val="2862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5629F"/>
    <w:multiLevelType w:val="hybridMultilevel"/>
    <w:tmpl w:val="4A8E82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655250">
    <w:abstractNumId w:val="12"/>
  </w:num>
  <w:num w:numId="2" w16cid:durableId="2108963949">
    <w:abstractNumId w:val="20"/>
  </w:num>
  <w:num w:numId="3" w16cid:durableId="716274148">
    <w:abstractNumId w:val="18"/>
  </w:num>
  <w:num w:numId="4" w16cid:durableId="703402524">
    <w:abstractNumId w:val="24"/>
  </w:num>
  <w:num w:numId="5" w16cid:durableId="1328051125">
    <w:abstractNumId w:val="13"/>
  </w:num>
  <w:num w:numId="6" w16cid:durableId="1044016903">
    <w:abstractNumId w:val="3"/>
  </w:num>
  <w:num w:numId="7" w16cid:durableId="114757589">
    <w:abstractNumId w:val="4"/>
  </w:num>
  <w:num w:numId="8" w16cid:durableId="209535900">
    <w:abstractNumId w:val="19"/>
  </w:num>
  <w:num w:numId="9" w16cid:durableId="329523144">
    <w:abstractNumId w:val="21"/>
  </w:num>
  <w:num w:numId="10" w16cid:durableId="361439665">
    <w:abstractNumId w:val="14"/>
  </w:num>
  <w:num w:numId="11" w16cid:durableId="687023013">
    <w:abstractNumId w:val="10"/>
  </w:num>
  <w:num w:numId="12" w16cid:durableId="1385520995">
    <w:abstractNumId w:val="8"/>
  </w:num>
  <w:num w:numId="13" w16cid:durableId="1393623262">
    <w:abstractNumId w:val="5"/>
  </w:num>
  <w:num w:numId="14" w16cid:durableId="616104357">
    <w:abstractNumId w:val="15"/>
  </w:num>
  <w:num w:numId="15" w16cid:durableId="494296063">
    <w:abstractNumId w:val="7"/>
  </w:num>
  <w:num w:numId="16" w16cid:durableId="1655135432">
    <w:abstractNumId w:val="6"/>
  </w:num>
  <w:num w:numId="17" w16cid:durableId="1967076086">
    <w:abstractNumId w:val="11"/>
  </w:num>
  <w:num w:numId="18" w16cid:durableId="1267081558">
    <w:abstractNumId w:val="0"/>
  </w:num>
  <w:num w:numId="19" w16cid:durableId="924925125">
    <w:abstractNumId w:val="1"/>
  </w:num>
  <w:num w:numId="20" w16cid:durableId="910431751">
    <w:abstractNumId w:val="9"/>
  </w:num>
  <w:num w:numId="21" w16cid:durableId="1641037149">
    <w:abstractNumId w:val="2"/>
  </w:num>
  <w:num w:numId="22" w16cid:durableId="1512526281">
    <w:abstractNumId w:val="16"/>
  </w:num>
  <w:num w:numId="23" w16cid:durableId="641277448">
    <w:abstractNumId w:val="17"/>
  </w:num>
  <w:num w:numId="24" w16cid:durableId="646596034">
    <w:abstractNumId w:val="23"/>
  </w:num>
  <w:num w:numId="25" w16cid:durableId="186987762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72"/>
    <w:rsid w:val="00000D05"/>
    <w:rsid w:val="00002A69"/>
    <w:rsid w:val="0000439D"/>
    <w:rsid w:val="0000507A"/>
    <w:rsid w:val="000077A7"/>
    <w:rsid w:val="00007EE4"/>
    <w:rsid w:val="00011BFE"/>
    <w:rsid w:val="0001515F"/>
    <w:rsid w:val="00015417"/>
    <w:rsid w:val="00016796"/>
    <w:rsid w:val="00020659"/>
    <w:rsid w:val="0002637A"/>
    <w:rsid w:val="00027F81"/>
    <w:rsid w:val="00033209"/>
    <w:rsid w:val="00034311"/>
    <w:rsid w:val="00035BB0"/>
    <w:rsid w:val="000365D9"/>
    <w:rsid w:val="00037018"/>
    <w:rsid w:val="0004171F"/>
    <w:rsid w:val="000425EA"/>
    <w:rsid w:val="00044DF1"/>
    <w:rsid w:val="000470AE"/>
    <w:rsid w:val="00047D98"/>
    <w:rsid w:val="00051322"/>
    <w:rsid w:val="00054808"/>
    <w:rsid w:val="0005583A"/>
    <w:rsid w:val="000621DD"/>
    <w:rsid w:val="00064DA2"/>
    <w:rsid w:val="00066AE6"/>
    <w:rsid w:val="00070077"/>
    <w:rsid w:val="0007288B"/>
    <w:rsid w:val="00072ECF"/>
    <w:rsid w:val="00075865"/>
    <w:rsid w:val="00076699"/>
    <w:rsid w:val="000776CF"/>
    <w:rsid w:val="00081097"/>
    <w:rsid w:val="00081877"/>
    <w:rsid w:val="00082625"/>
    <w:rsid w:val="00083BEE"/>
    <w:rsid w:val="00093200"/>
    <w:rsid w:val="00093C3D"/>
    <w:rsid w:val="00096A5A"/>
    <w:rsid w:val="000971A9"/>
    <w:rsid w:val="000A372B"/>
    <w:rsid w:val="000A38E8"/>
    <w:rsid w:val="000A39DD"/>
    <w:rsid w:val="000A3FB4"/>
    <w:rsid w:val="000A5A4C"/>
    <w:rsid w:val="000A6091"/>
    <w:rsid w:val="000B40BF"/>
    <w:rsid w:val="000B5B98"/>
    <w:rsid w:val="000C0F41"/>
    <w:rsid w:val="000C2EFF"/>
    <w:rsid w:val="000D02EA"/>
    <w:rsid w:val="000D0AC0"/>
    <w:rsid w:val="000D5177"/>
    <w:rsid w:val="000D5603"/>
    <w:rsid w:val="000D6FCC"/>
    <w:rsid w:val="000D74CE"/>
    <w:rsid w:val="000E19AB"/>
    <w:rsid w:val="000E4283"/>
    <w:rsid w:val="000E56EE"/>
    <w:rsid w:val="000E7E42"/>
    <w:rsid w:val="000F0A60"/>
    <w:rsid w:val="000F55B1"/>
    <w:rsid w:val="000F7B91"/>
    <w:rsid w:val="0010134C"/>
    <w:rsid w:val="00101EBD"/>
    <w:rsid w:val="00105B2A"/>
    <w:rsid w:val="00112289"/>
    <w:rsid w:val="001127F8"/>
    <w:rsid w:val="00114634"/>
    <w:rsid w:val="00120AB9"/>
    <w:rsid w:val="00121D74"/>
    <w:rsid w:val="001229DD"/>
    <w:rsid w:val="001244C8"/>
    <w:rsid w:val="00126667"/>
    <w:rsid w:val="00131EC7"/>
    <w:rsid w:val="0013276C"/>
    <w:rsid w:val="00133506"/>
    <w:rsid w:val="00135531"/>
    <w:rsid w:val="00140019"/>
    <w:rsid w:val="0014243F"/>
    <w:rsid w:val="00142808"/>
    <w:rsid w:val="00143EDC"/>
    <w:rsid w:val="001459CA"/>
    <w:rsid w:val="00146D11"/>
    <w:rsid w:val="00147336"/>
    <w:rsid w:val="00150759"/>
    <w:rsid w:val="00150966"/>
    <w:rsid w:val="0015298A"/>
    <w:rsid w:val="001560B6"/>
    <w:rsid w:val="00156A86"/>
    <w:rsid w:val="0017011B"/>
    <w:rsid w:val="00170286"/>
    <w:rsid w:val="0017198A"/>
    <w:rsid w:val="00174FCC"/>
    <w:rsid w:val="001773DC"/>
    <w:rsid w:val="00177690"/>
    <w:rsid w:val="001804A4"/>
    <w:rsid w:val="001805E6"/>
    <w:rsid w:val="00180A71"/>
    <w:rsid w:val="00182633"/>
    <w:rsid w:val="00186309"/>
    <w:rsid w:val="0018763F"/>
    <w:rsid w:val="0019051E"/>
    <w:rsid w:val="00191A55"/>
    <w:rsid w:val="001A25AC"/>
    <w:rsid w:val="001A27AE"/>
    <w:rsid w:val="001A550F"/>
    <w:rsid w:val="001A6C89"/>
    <w:rsid w:val="001A756D"/>
    <w:rsid w:val="001B084C"/>
    <w:rsid w:val="001B0B9A"/>
    <w:rsid w:val="001B73E5"/>
    <w:rsid w:val="001C3A4C"/>
    <w:rsid w:val="001C7D28"/>
    <w:rsid w:val="001D60A1"/>
    <w:rsid w:val="001D6149"/>
    <w:rsid w:val="001D6A56"/>
    <w:rsid w:val="001E1A92"/>
    <w:rsid w:val="001E2362"/>
    <w:rsid w:val="001E777E"/>
    <w:rsid w:val="001E7C5D"/>
    <w:rsid w:val="001F3D79"/>
    <w:rsid w:val="001F40FC"/>
    <w:rsid w:val="001F41E4"/>
    <w:rsid w:val="001F4C25"/>
    <w:rsid w:val="001F6176"/>
    <w:rsid w:val="001F686F"/>
    <w:rsid w:val="0020090E"/>
    <w:rsid w:val="00201FB1"/>
    <w:rsid w:val="0020383E"/>
    <w:rsid w:val="00205E94"/>
    <w:rsid w:val="002064B8"/>
    <w:rsid w:val="002072B2"/>
    <w:rsid w:val="0020760B"/>
    <w:rsid w:val="00212627"/>
    <w:rsid w:val="00213E2C"/>
    <w:rsid w:val="002141D3"/>
    <w:rsid w:val="00215348"/>
    <w:rsid w:val="00216553"/>
    <w:rsid w:val="002178FD"/>
    <w:rsid w:val="00223F9B"/>
    <w:rsid w:val="00225C74"/>
    <w:rsid w:val="00234CD2"/>
    <w:rsid w:val="00235875"/>
    <w:rsid w:val="002359D4"/>
    <w:rsid w:val="002362BF"/>
    <w:rsid w:val="00237F6E"/>
    <w:rsid w:val="00240056"/>
    <w:rsid w:val="002448B8"/>
    <w:rsid w:val="002459BE"/>
    <w:rsid w:val="002503D5"/>
    <w:rsid w:val="002519D5"/>
    <w:rsid w:val="00253ABB"/>
    <w:rsid w:val="002554E9"/>
    <w:rsid w:val="0025630C"/>
    <w:rsid w:val="0025641F"/>
    <w:rsid w:val="002570BA"/>
    <w:rsid w:val="002601A5"/>
    <w:rsid w:val="00262538"/>
    <w:rsid w:val="002628AE"/>
    <w:rsid w:val="002630D7"/>
    <w:rsid w:val="00263945"/>
    <w:rsid w:val="00263D13"/>
    <w:rsid w:val="00264C12"/>
    <w:rsid w:val="00265D45"/>
    <w:rsid w:val="00266011"/>
    <w:rsid w:val="002677F0"/>
    <w:rsid w:val="00267923"/>
    <w:rsid w:val="0027197D"/>
    <w:rsid w:val="002725B9"/>
    <w:rsid w:val="00272637"/>
    <w:rsid w:val="00272B0E"/>
    <w:rsid w:val="00272E88"/>
    <w:rsid w:val="00274407"/>
    <w:rsid w:val="00274631"/>
    <w:rsid w:val="002772FA"/>
    <w:rsid w:val="00281AEB"/>
    <w:rsid w:val="00286E0B"/>
    <w:rsid w:val="0029215E"/>
    <w:rsid w:val="00292308"/>
    <w:rsid w:val="00292DD3"/>
    <w:rsid w:val="0029332C"/>
    <w:rsid w:val="002939EB"/>
    <w:rsid w:val="0029503D"/>
    <w:rsid w:val="002960A9"/>
    <w:rsid w:val="00297D33"/>
    <w:rsid w:val="002A386D"/>
    <w:rsid w:val="002A5BAA"/>
    <w:rsid w:val="002A7DA3"/>
    <w:rsid w:val="002B30E2"/>
    <w:rsid w:val="002B4E8B"/>
    <w:rsid w:val="002B5E9F"/>
    <w:rsid w:val="002B64A4"/>
    <w:rsid w:val="002B67D7"/>
    <w:rsid w:val="002B6E54"/>
    <w:rsid w:val="002B7048"/>
    <w:rsid w:val="002C0195"/>
    <w:rsid w:val="002C4B15"/>
    <w:rsid w:val="002D4308"/>
    <w:rsid w:val="002D75F0"/>
    <w:rsid w:val="002E27AA"/>
    <w:rsid w:val="002E49D2"/>
    <w:rsid w:val="002E5528"/>
    <w:rsid w:val="002F1484"/>
    <w:rsid w:val="002F1F26"/>
    <w:rsid w:val="002F6C47"/>
    <w:rsid w:val="00306CC7"/>
    <w:rsid w:val="00307F21"/>
    <w:rsid w:val="0031375F"/>
    <w:rsid w:val="00314668"/>
    <w:rsid w:val="00315CE6"/>
    <w:rsid w:val="00317512"/>
    <w:rsid w:val="003202E5"/>
    <w:rsid w:val="00320B33"/>
    <w:rsid w:val="00322DB4"/>
    <w:rsid w:val="0033335A"/>
    <w:rsid w:val="00334A1D"/>
    <w:rsid w:val="00340024"/>
    <w:rsid w:val="003414B4"/>
    <w:rsid w:val="00342FCF"/>
    <w:rsid w:val="003445A0"/>
    <w:rsid w:val="00344912"/>
    <w:rsid w:val="003506EC"/>
    <w:rsid w:val="00351826"/>
    <w:rsid w:val="00352B9B"/>
    <w:rsid w:val="00354565"/>
    <w:rsid w:val="00361A64"/>
    <w:rsid w:val="003620ED"/>
    <w:rsid w:val="00362F69"/>
    <w:rsid w:val="003647A8"/>
    <w:rsid w:val="0036550E"/>
    <w:rsid w:val="00367589"/>
    <w:rsid w:val="003702DE"/>
    <w:rsid w:val="00372007"/>
    <w:rsid w:val="003737FB"/>
    <w:rsid w:val="00373F98"/>
    <w:rsid w:val="00374A1A"/>
    <w:rsid w:val="003755E5"/>
    <w:rsid w:val="00377942"/>
    <w:rsid w:val="0038093D"/>
    <w:rsid w:val="0038333A"/>
    <w:rsid w:val="00385776"/>
    <w:rsid w:val="00392612"/>
    <w:rsid w:val="003A1282"/>
    <w:rsid w:val="003A3696"/>
    <w:rsid w:val="003A5FB0"/>
    <w:rsid w:val="003A678B"/>
    <w:rsid w:val="003A7E9C"/>
    <w:rsid w:val="003B1428"/>
    <w:rsid w:val="003B4D88"/>
    <w:rsid w:val="003B776A"/>
    <w:rsid w:val="003C219F"/>
    <w:rsid w:val="003D0436"/>
    <w:rsid w:val="003D1838"/>
    <w:rsid w:val="003D3B00"/>
    <w:rsid w:val="003D4113"/>
    <w:rsid w:val="003D49BA"/>
    <w:rsid w:val="003D5235"/>
    <w:rsid w:val="003E1109"/>
    <w:rsid w:val="003E2880"/>
    <w:rsid w:val="003E3073"/>
    <w:rsid w:val="003E3EAD"/>
    <w:rsid w:val="003E7B46"/>
    <w:rsid w:val="003F1F74"/>
    <w:rsid w:val="003F2228"/>
    <w:rsid w:val="00403BF7"/>
    <w:rsid w:val="004111C8"/>
    <w:rsid w:val="00414764"/>
    <w:rsid w:val="00414858"/>
    <w:rsid w:val="004152AD"/>
    <w:rsid w:val="004156B8"/>
    <w:rsid w:val="00416FA8"/>
    <w:rsid w:val="004173B6"/>
    <w:rsid w:val="0041742A"/>
    <w:rsid w:val="00424828"/>
    <w:rsid w:val="0042482A"/>
    <w:rsid w:val="00424908"/>
    <w:rsid w:val="00430E91"/>
    <w:rsid w:val="0043281C"/>
    <w:rsid w:val="0043546B"/>
    <w:rsid w:val="00435E96"/>
    <w:rsid w:val="00436A23"/>
    <w:rsid w:val="0044029F"/>
    <w:rsid w:val="0044218A"/>
    <w:rsid w:val="004436B6"/>
    <w:rsid w:val="00446EDF"/>
    <w:rsid w:val="0045039F"/>
    <w:rsid w:val="0045261A"/>
    <w:rsid w:val="00453BE9"/>
    <w:rsid w:val="004541C2"/>
    <w:rsid w:val="00455BDD"/>
    <w:rsid w:val="00456CE4"/>
    <w:rsid w:val="004576E9"/>
    <w:rsid w:val="00463784"/>
    <w:rsid w:val="00465D66"/>
    <w:rsid w:val="0046711D"/>
    <w:rsid w:val="00467B36"/>
    <w:rsid w:val="004703FD"/>
    <w:rsid w:val="00476040"/>
    <w:rsid w:val="004772D1"/>
    <w:rsid w:val="004778F1"/>
    <w:rsid w:val="00477E37"/>
    <w:rsid w:val="00477EF4"/>
    <w:rsid w:val="0048323C"/>
    <w:rsid w:val="00484105"/>
    <w:rsid w:val="00485DD9"/>
    <w:rsid w:val="0048604C"/>
    <w:rsid w:val="00486162"/>
    <w:rsid w:val="00487DE6"/>
    <w:rsid w:val="004914EC"/>
    <w:rsid w:val="00492517"/>
    <w:rsid w:val="00492B4F"/>
    <w:rsid w:val="004931E2"/>
    <w:rsid w:val="004966BE"/>
    <w:rsid w:val="00496A5E"/>
    <w:rsid w:val="004B26DE"/>
    <w:rsid w:val="004B3206"/>
    <w:rsid w:val="004B38F5"/>
    <w:rsid w:val="004B3A6C"/>
    <w:rsid w:val="004B3B3A"/>
    <w:rsid w:val="004B5B21"/>
    <w:rsid w:val="004B65A0"/>
    <w:rsid w:val="004B72A0"/>
    <w:rsid w:val="004B7FF1"/>
    <w:rsid w:val="004C20AD"/>
    <w:rsid w:val="004C2586"/>
    <w:rsid w:val="004C4F09"/>
    <w:rsid w:val="004D00EC"/>
    <w:rsid w:val="004D25B2"/>
    <w:rsid w:val="004D318A"/>
    <w:rsid w:val="004D35AE"/>
    <w:rsid w:val="004D3E01"/>
    <w:rsid w:val="004D4FD1"/>
    <w:rsid w:val="004D6F9C"/>
    <w:rsid w:val="004E3F8F"/>
    <w:rsid w:val="004E4368"/>
    <w:rsid w:val="004E698C"/>
    <w:rsid w:val="004E6E48"/>
    <w:rsid w:val="004F0EB8"/>
    <w:rsid w:val="004F1686"/>
    <w:rsid w:val="004F2708"/>
    <w:rsid w:val="004F2CDB"/>
    <w:rsid w:val="004F3BD2"/>
    <w:rsid w:val="0050137B"/>
    <w:rsid w:val="0050433D"/>
    <w:rsid w:val="00506E3A"/>
    <w:rsid w:val="00507917"/>
    <w:rsid w:val="0051084F"/>
    <w:rsid w:val="005134E0"/>
    <w:rsid w:val="0051394C"/>
    <w:rsid w:val="005157C2"/>
    <w:rsid w:val="00521546"/>
    <w:rsid w:val="005217E7"/>
    <w:rsid w:val="00522317"/>
    <w:rsid w:val="00522891"/>
    <w:rsid w:val="0052403E"/>
    <w:rsid w:val="005242BD"/>
    <w:rsid w:val="00525070"/>
    <w:rsid w:val="0052609D"/>
    <w:rsid w:val="00527A84"/>
    <w:rsid w:val="00530A0C"/>
    <w:rsid w:val="0053224E"/>
    <w:rsid w:val="00535384"/>
    <w:rsid w:val="00535A4F"/>
    <w:rsid w:val="00537A43"/>
    <w:rsid w:val="00543FC1"/>
    <w:rsid w:val="00545780"/>
    <w:rsid w:val="00546339"/>
    <w:rsid w:val="00550FB1"/>
    <w:rsid w:val="00556117"/>
    <w:rsid w:val="0055704A"/>
    <w:rsid w:val="005574D5"/>
    <w:rsid w:val="005604D6"/>
    <w:rsid w:val="00562587"/>
    <w:rsid w:val="00562A06"/>
    <w:rsid w:val="005650BE"/>
    <w:rsid w:val="005737E1"/>
    <w:rsid w:val="00573D57"/>
    <w:rsid w:val="0057410E"/>
    <w:rsid w:val="005751B3"/>
    <w:rsid w:val="00575B9F"/>
    <w:rsid w:val="00580349"/>
    <w:rsid w:val="00584497"/>
    <w:rsid w:val="005865F2"/>
    <w:rsid w:val="00594012"/>
    <w:rsid w:val="00594E99"/>
    <w:rsid w:val="005964E6"/>
    <w:rsid w:val="00596990"/>
    <w:rsid w:val="005A0AC6"/>
    <w:rsid w:val="005A233E"/>
    <w:rsid w:val="005A5E72"/>
    <w:rsid w:val="005A7858"/>
    <w:rsid w:val="005B1943"/>
    <w:rsid w:val="005B55EC"/>
    <w:rsid w:val="005C0924"/>
    <w:rsid w:val="005C0EDF"/>
    <w:rsid w:val="005C53E6"/>
    <w:rsid w:val="005D0991"/>
    <w:rsid w:val="005D1087"/>
    <w:rsid w:val="005D277D"/>
    <w:rsid w:val="005D390B"/>
    <w:rsid w:val="005D52DB"/>
    <w:rsid w:val="005D66C5"/>
    <w:rsid w:val="005E0FBC"/>
    <w:rsid w:val="005E1305"/>
    <w:rsid w:val="005E4CF0"/>
    <w:rsid w:val="005E5AD1"/>
    <w:rsid w:val="005E65BA"/>
    <w:rsid w:val="005F0B5E"/>
    <w:rsid w:val="005F45D3"/>
    <w:rsid w:val="00600509"/>
    <w:rsid w:val="006009FD"/>
    <w:rsid w:val="00606431"/>
    <w:rsid w:val="00606D39"/>
    <w:rsid w:val="006117F8"/>
    <w:rsid w:val="0061255D"/>
    <w:rsid w:val="00620053"/>
    <w:rsid w:val="006231C8"/>
    <w:rsid w:val="00623752"/>
    <w:rsid w:val="0062538F"/>
    <w:rsid w:val="006255ED"/>
    <w:rsid w:val="0063153F"/>
    <w:rsid w:val="00632C05"/>
    <w:rsid w:val="006337E0"/>
    <w:rsid w:val="00635379"/>
    <w:rsid w:val="0063697A"/>
    <w:rsid w:val="0064006F"/>
    <w:rsid w:val="006405BB"/>
    <w:rsid w:val="00640D39"/>
    <w:rsid w:val="006417BE"/>
    <w:rsid w:val="00642845"/>
    <w:rsid w:val="00643373"/>
    <w:rsid w:val="006442B0"/>
    <w:rsid w:val="00652442"/>
    <w:rsid w:val="00653E63"/>
    <w:rsid w:val="00655440"/>
    <w:rsid w:val="00656710"/>
    <w:rsid w:val="006568CC"/>
    <w:rsid w:val="0065755C"/>
    <w:rsid w:val="00660A40"/>
    <w:rsid w:val="00661E5E"/>
    <w:rsid w:val="0066296F"/>
    <w:rsid w:val="00662A6F"/>
    <w:rsid w:val="00663687"/>
    <w:rsid w:val="00663EA5"/>
    <w:rsid w:val="00666707"/>
    <w:rsid w:val="006667F7"/>
    <w:rsid w:val="006703E2"/>
    <w:rsid w:val="006708C7"/>
    <w:rsid w:val="0067411B"/>
    <w:rsid w:val="00680875"/>
    <w:rsid w:val="00680E76"/>
    <w:rsid w:val="006832A2"/>
    <w:rsid w:val="006863E5"/>
    <w:rsid w:val="006875D2"/>
    <w:rsid w:val="006914F4"/>
    <w:rsid w:val="00695AED"/>
    <w:rsid w:val="00696760"/>
    <w:rsid w:val="00696D5C"/>
    <w:rsid w:val="006A447C"/>
    <w:rsid w:val="006A6D4B"/>
    <w:rsid w:val="006B2A76"/>
    <w:rsid w:val="006B3B8A"/>
    <w:rsid w:val="006C24E2"/>
    <w:rsid w:val="006C357B"/>
    <w:rsid w:val="006C5843"/>
    <w:rsid w:val="006C72FA"/>
    <w:rsid w:val="006D0DA4"/>
    <w:rsid w:val="006D1F4D"/>
    <w:rsid w:val="006D4833"/>
    <w:rsid w:val="006E0F50"/>
    <w:rsid w:val="006E2231"/>
    <w:rsid w:val="006E37B6"/>
    <w:rsid w:val="006E5133"/>
    <w:rsid w:val="006E67AB"/>
    <w:rsid w:val="006F0429"/>
    <w:rsid w:val="006F7FD5"/>
    <w:rsid w:val="007003DD"/>
    <w:rsid w:val="0070498F"/>
    <w:rsid w:val="00705CA8"/>
    <w:rsid w:val="007063C2"/>
    <w:rsid w:val="00711E21"/>
    <w:rsid w:val="007145FA"/>
    <w:rsid w:val="007163DB"/>
    <w:rsid w:val="00717323"/>
    <w:rsid w:val="00723B53"/>
    <w:rsid w:val="007251E2"/>
    <w:rsid w:val="00725E71"/>
    <w:rsid w:val="007262E6"/>
    <w:rsid w:val="00734F71"/>
    <w:rsid w:val="00735C0F"/>
    <w:rsid w:val="007369EE"/>
    <w:rsid w:val="00740D52"/>
    <w:rsid w:val="00741FDC"/>
    <w:rsid w:val="0074210B"/>
    <w:rsid w:val="00750395"/>
    <w:rsid w:val="00753FFA"/>
    <w:rsid w:val="00754A73"/>
    <w:rsid w:val="00756582"/>
    <w:rsid w:val="007612A4"/>
    <w:rsid w:val="00761965"/>
    <w:rsid w:val="0076262D"/>
    <w:rsid w:val="0076757B"/>
    <w:rsid w:val="00767C20"/>
    <w:rsid w:val="00770085"/>
    <w:rsid w:val="00770EAE"/>
    <w:rsid w:val="00771B4E"/>
    <w:rsid w:val="00780B06"/>
    <w:rsid w:val="007821AB"/>
    <w:rsid w:val="00783CC7"/>
    <w:rsid w:val="00786D77"/>
    <w:rsid w:val="00791ECA"/>
    <w:rsid w:val="007921E9"/>
    <w:rsid w:val="0079232B"/>
    <w:rsid w:val="00793EE2"/>
    <w:rsid w:val="007978D8"/>
    <w:rsid w:val="007A0B39"/>
    <w:rsid w:val="007A3950"/>
    <w:rsid w:val="007A6A94"/>
    <w:rsid w:val="007B76FF"/>
    <w:rsid w:val="007B79A1"/>
    <w:rsid w:val="007C261A"/>
    <w:rsid w:val="007C43C8"/>
    <w:rsid w:val="007C43D5"/>
    <w:rsid w:val="007C63E3"/>
    <w:rsid w:val="007C6422"/>
    <w:rsid w:val="007C6910"/>
    <w:rsid w:val="007D1221"/>
    <w:rsid w:val="007D2579"/>
    <w:rsid w:val="007D2704"/>
    <w:rsid w:val="007D4B75"/>
    <w:rsid w:val="007E2B9D"/>
    <w:rsid w:val="007E483D"/>
    <w:rsid w:val="007F5C58"/>
    <w:rsid w:val="007F5F44"/>
    <w:rsid w:val="007F60B9"/>
    <w:rsid w:val="007F62BF"/>
    <w:rsid w:val="00801012"/>
    <w:rsid w:val="00801D1A"/>
    <w:rsid w:val="0080413F"/>
    <w:rsid w:val="0080638E"/>
    <w:rsid w:val="00810309"/>
    <w:rsid w:val="008105BB"/>
    <w:rsid w:val="00812DF6"/>
    <w:rsid w:val="00813B82"/>
    <w:rsid w:val="008154B9"/>
    <w:rsid w:val="00816347"/>
    <w:rsid w:val="008171C0"/>
    <w:rsid w:val="00820E20"/>
    <w:rsid w:val="00821C4E"/>
    <w:rsid w:val="0082346A"/>
    <w:rsid w:val="00826A19"/>
    <w:rsid w:val="00827678"/>
    <w:rsid w:val="00832A7F"/>
    <w:rsid w:val="00833FF8"/>
    <w:rsid w:val="0083565A"/>
    <w:rsid w:val="00837CFB"/>
    <w:rsid w:val="00837DE5"/>
    <w:rsid w:val="00850CC4"/>
    <w:rsid w:val="008539E6"/>
    <w:rsid w:val="008541A8"/>
    <w:rsid w:val="00857FE2"/>
    <w:rsid w:val="0086016D"/>
    <w:rsid w:val="0086090D"/>
    <w:rsid w:val="00863E81"/>
    <w:rsid w:val="008641A5"/>
    <w:rsid w:val="008709BA"/>
    <w:rsid w:val="00875208"/>
    <w:rsid w:val="00882879"/>
    <w:rsid w:val="0088441A"/>
    <w:rsid w:val="008858E5"/>
    <w:rsid w:val="008937DD"/>
    <w:rsid w:val="00895E62"/>
    <w:rsid w:val="00896844"/>
    <w:rsid w:val="0089787C"/>
    <w:rsid w:val="008A1D7A"/>
    <w:rsid w:val="008A2587"/>
    <w:rsid w:val="008A4685"/>
    <w:rsid w:val="008A684A"/>
    <w:rsid w:val="008A6C4D"/>
    <w:rsid w:val="008A7032"/>
    <w:rsid w:val="008A7A9B"/>
    <w:rsid w:val="008B11DF"/>
    <w:rsid w:val="008B2113"/>
    <w:rsid w:val="008B38AA"/>
    <w:rsid w:val="008B4557"/>
    <w:rsid w:val="008B6823"/>
    <w:rsid w:val="008B68C7"/>
    <w:rsid w:val="008B709E"/>
    <w:rsid w:val="008B7ADA"/>
    <w:rsid w:val="008C3A91"/>
    <w:rsid w:val="008C4EDD"/>
    <w:rsid w:val="008C4FC1"/>
    <w:rsid w:val="008D0908"/>
    <w:rsid w:val="008D428F"/>
    <w:rsid w:val="008D4A8A"/>
    <w:rsid w:val="008E096E"/>
    <w:rsid w:val="008E272D"/>
    <w:rsid w:val="008E3E4F"/>
    <w:rsid w:val="008F0095"/>
    <w:rsid w:val="008F1120"/>
    <w:rsid w:val="0090176F"/>
    <w:rsid w:val="00904787"/>
    <w:rsid w:val="0090657B"/>
    <w:rsid w:val="00912BEA"/>
    <w:rsid w:val="0091684E"/>
    <w:rsid w:val="0092043F"/>
    <w:rsid w:val="00920DF0"/>
    <w:rsid w:val="00922C3E"/>
    <w:rsid w:val="00922D85"/>
    <w:rsid w:val="00926B3B"/>
    <w:rsid w:val="00926E45"/>
    <w:rsid w:val="00930BB1"/>
    <w:rsid w:val="00931822"/>
    <w:rsid w:val="0093183B"/>
    <w:rsid w:val="00932921"/>
    <w:rsid w:val="00933E4A"/>
    <w:rsid w:val="0093400D"/>
    <w:rsid w:val="00935108"/>
    <w:rsid w:val="00937618"/>
    <w:rsid w:val="009400C6"/>
    <w:rsid w:val="00942787"/>
    <w:rsid w:val="00943375"/>
    <w:rsid w:val="009442A6"/>
    <w:rsid w:val="009553A6"/>
    <w:rsid w:val="009563D5"/>
    <w:rsid w:val="00967425"/>
    <w:rsid w:val="00971190"/>
    <w:rsid w:val="009740F8"/>
    <w:rsid w:val="00974423"/>
    <w:rsid w:val="0098711F"/>
    <w:rsid w:val="00987291"/>
    <w:rsid w:val="009903EC"/>
    <w:rsid w:val="0099143E"/>
    <w:rsid w:val="00992217"/>
    <w:rsid w:val="00992253"/>
    <w:rsid w:val="00996C0C"/>
    <w:rsid w:val="009A3943"/>
    <w:rsid w:val="009A4C82"/>
    <w:rsid w:val="009A54B5"/>
    <w:rsid w:val="009A7BB6"/>
    <w:rsid w:val="009A7ED1"/>
    <w:rsid w:val="009B573D"/>
    <w:rsid w:val="009B5989"/>
    <w:rsid w:val="009C25AC"/>
    <w:rsid w:val="009C278A"/>
    <w:rsid w:val="009C43B2"/>
    <w:rsid w:val="009C66CA"/>
    <w:rsid w:val="009C7AFD"/>
    <w:rsid w:val="009D012A"/>
    <w:rsid w:val="009D6B41"/>
    <w:rsid w:val="009E2241"/>
    <w:rsid w:val="009F0814"/>
    <w:rsid w:val="009F3F3A"/>
    <w:rsid w:val="009F5850"/>
    <w:rsid w:val="009F6F18"/>
    <w:rsid w:val="00A00C7F"/>
    <w:rsid w:val="00A034ED"/>
    <w:rsid w:val="00A05F07"/>
    <w:rsid w:val="00A12811"/>
    <w:rsid w:val="00A129EE"/>
    <w:rsid w:val="00A132AA"/>
    <w:rsid w:val="00A2251E"/>
    <w:rsid w:val="00A25B02"/>
    <w:rsid w:val="00A26793"/>
    <w:rsid w:val="00A27464"/>
    <w:rsid w:val="00A3272C"/>
    <w:rsid w:val="00A41D61"/>
    <w:rsid w:val="00A43D29"/>
    <w:rsid w:val="00A50722"/>
    <w:rsid w:val="00A511C9"/>
    <w:rsid w:val="00A52BDA"/>
    <w:rsid w:val="00A53883"/>
    <w:rsid w:val="00A56466"/>
    <w:rsid w:val="00A566EA"/>
    <w:rsid w:val="00A60102"/>
    <w:rsid w:val="00A62377"/>
    <w:rsid w:val="00A63983"/>
    <w:rsid w:val="00A6536C"/>
    <w:rsid w:val="00A71EBD"/>
    <w:rsid w:val="00A76026"/>
    <w:rsid w:val="00A83B8B"/>
    <w:rsid w:val="00A83E6C"/>
    <w:rsid w:val="00A86B51"/>
    <w:rsid w:val="00A90BE4"/>
    <w:rsid w:val="00A91B01"/>
    <w:rsid w:val="00A947FD"/>
    <w:rsid w:val="00A94A41"/>
    <w:rsid w:val="00A96F24"/>
    <w:rsid w:val="00A97204"/>
    <w:rsid w:val="00AA1C08"/>
    <w:rsid w:val="00AA1FAE"/>
    <w:rsid w:val="00AB0640"/>
    <w:rsid w:val="00AB0641"/>
    <w:rsid w:val="00AB30A9"/>
    <w:rsid w:val="00AC16F3"/>
    <w:rsid w:val="00AC2862"/>
    <w:rsid w:val="00AC4F2C"/>
    <w:rsid w:val="00AC4F6A"/>
    <w:rsid w:val="00AC605E"/>
    <w:rsid w:val="00AD187D"/>
    <w:rsid w:val="00AD34CE"/>
    <w:rsid w:val="00AD73E0"/>
    <w:rsid w:val="00AE11A4"/>
    <w:rsid w:val="00AE24BD"/>
    <w:rsid w:val="00AE590B"/>
    <w:rsid w:val="00AF221F"/>
    <w:rsid w:val="00AF309C"/>
    <w:rsid w:val="00AF368D"/>
    <w:rsid w:val="00B0006E"/>
    <w:rsid w:val="00B01329"/>
    <w:rsid w:val="00B0172F"/>
    <w:rsid w:val="00B01A3F"/>
    <w:rsid w:val="00B02DFE"/>
    <w:rsid w:val="00B03F58"/>
    <w:rsid w:val="00B05F1C"/>
    <w:rsid w:val="00B07DDF"/>
    <w:rsid w:val="00B114A6"/>
    <w:rsid w:val="00B11590"/>
    <w:rsid w:val="00B2010C"/>
    <w:rsid w:val="00B212A4"/>
    <w:rsid w:val="00B21714"/>
    <w:rsid w:val="00B21BAA"/>
    <w:rsid w:val="00B2397C"/>
    <w:rsid w:val="00B3140F"/>
    <w:rsid w:val="00B35E61"/>
    <w:rsid w:val="00B37D1B"/>
    <w:rsid w:val="00B41A6B"/>
    <w:rsid w:val="00B42BAE"/>
    <w:rsid w:val="00B43DA5"/>
    <w:rsid w:val="00B440E9"/>
    <w:rsid w:val="00B4590B"/>
    <w:rsid w:val="00B46308"/>
    <w:rsid w:val="00B523A1"/>
    <w:rsid w:val="00B53376"/>
    <w:rsid w:val="00B54D53"/>
    <w:rsid w:val="00B5561B"/>
    <w:rsid w:val="00B5722D"/>
    <w:rsid w:val="00B606E4"/>
    <w:rsid w:val="00B61EC3"/>
    <w:rsid w:val="00B628DA"/>
    <w:rsid w:val="00B62B6A"/>
    <w:rsid w:val="00B70739"/>
    <w:rsid w:val="00B726AB"/>
    <w:rsid w:val="00B72DB1"/>
    <w:rsid w:val="00B7500E"/>
    <w:rsid w:val="00B75454"/>
    <w:rsid w:val="00B80477"/>
    <w:rsid w:val="00B808FC"/>
    <w:rsid w:val="00B82612"/>
    <w:rsid w:val="00B82D83"/>
    <w:rsid w:val="00B838E3"/>
    <w:rsid w:val="00B9064F"/>
    <w:rsid w:val="00B9343D"/>
    <w:rsid w:val="00B9795F"/>
    <w:rsid w:val="00BA4815"/>
    <w:rsid w:val="00BA656D"/>
    <w:rsid w:val="00BA740D"/>
    <w:rsid w:val="00BB106D"/>
    <w:rsid w:val="00BB38EF"/>
    <w:rsid w:val="00BB5E79"/>
    <w:rsid w:val="00BB7434"/>
    <w:rsid w:val="00BB74CC"/>
    <w:rsid w:val="00BC28BE"/>
    <w:rsid w:val="00BC542C"/>
    <w:rsid w:val="00BC61E7"/>
    <w:rsid w:val="00BC6D65"/>
    <w:rsid w:val="00BD05F8"/>
    <w:rsid w:val="00BE317D"/>
    <w:rsid w:val="00BE478E"/>
    <w:rsid w:val="00BE5025"/>
    <w:rsid w:val="00BE66DA"/>
    <w:rsid w:val="00BF0BF4"/>
    <w:rsid w:val="00BF21FF"/>
    <w:rsid w:val="00BF2D33"/>
    <w:rsid w:val="00BF2F49"/>
    <w:rsid w:val="00BF3C6C"/>
    <w:rsid w:val="00BF4855"/>
    <w:rsid w:val="00BF715B"/>
    <w:rsid w:val="00C060D2"/>
    <w:rsid w:val="00C0781D"/>
    <w:rsid w:val="00C07F47"/>
    <w:rsid w:val="00C13D44"/>
    <w:rsid w:val="00C14962"/>
    <w:rsid w:val="00C14D0F"/>
    <w:rsid w:val="00C25451"/>
    <w:rsid w:val="00C26E4C"/>
    <w:rsid w:val="00C270AB"/>
    <w:rsid w:val="00C32C4C"/>
    <w:rsid w:val="00C33698"/>
    <w:rsid w:val="00C350C6"/>
    <w:rsid w:val="00C35861"/>
    <w:rsid w:val="00C37B2A"/>
    <w:rsid w:val="00C4264C"/>
    <w:rsid w:val="00C4308C"/>
    <w:rsid w:val="00C43736"/>
    <w:rsid w:val="00C469A5"/>
    <w:rsid w:val="00C47F97"/>
    <w:rsid w:val="00C52D99"/>
    <w:rsid w:val="00C552BB"/>
    <w:rsid w:val="00C555A7"/>
    <w:rsid w:val="00C55A87"/>
    <w:rsid w:val="00C56614"/>
    <w:rsid w:val="00C57EDF"/>
    <w:rsid w:val="00C6125A"/>
    <w:rsid w:val="00C62835"/>
    <w:rsid w:val="00C62872"/>
    <w:rsid w:val="00C6422D"/>
    <w:rsid w:val="00C64276"/>
    <w:rsid w:val="00C66FAF"/>
    <w:rsid w:val="00C67C24"/>
    <w:rsid w:val="00C70502"/>
    <w:rsid w:val="00C73FD3"/>
    <w:rsid w:val="00C757AF"/>
    <w:rsid w:val="00C767AF"/>
    <w:rsid w:val="00C76863"/>
    <w:rsid w:val="00C77248"/>
    <w:rsid w:val="00C80640"/>
    <w:rsid w:val="00C83D50"/>
    <w:rsid w:val="00C855BA"/>
    <w:rsid w:val="00C86327"/>
    <w:rsid w:val="00C86907"/>
    <w:rsid w:val="00C90F69"/>
    <w:rsid w:val="00C949A0"/>
    <w:rsid w:val="00C94C9F"/>
    <w:rsid w:val="00CA1BFB"/>
    <w:rsid w:val="00CA5041"/>
    <w:rsid w:val="00CA622A"/>
    <w:rsid w:val="00CB2562"/>
    <w:rsid w:val="00CB2E05"/>
    <w:rsid w:val="00CB3FC4"/>
    <w:rsid w:val="00CB472E"/>
    <w:rsid w:val="00CB4738"/>
    <w:rsid w:val="00CC0FD7"/>
    <w:rsid w:val="00CC2238"/>
    <w:rsid w:val="00CC262D"/>
    <w:rsid w:val="00CC293F"/>
    <w:rsid w:val="00CC4CF0"/>
    <w:rsid w:val="00CD1C0B"/>
    <w:rsid w:val="00CD397F"/>
    <w:rsid w:val="00CD61B7"/>
    <w:rsid w:val="00CE18D1"/>
    <w:rsid w:val="00CE197A"/>
    <w:rsid w:val="00CE3A3C"/>
    <w:rsid w:val="00CE3F82"/>
    <w:rsid w:val="00CF0603"/>
    <w:rsid w:val="00CF0BE5"/>
    <w:rsid w:val="00CF0BFD"/>
    <w:rsid w:val="00CF0C34"/>
    <w:rsid w:val="00CF2F05"/>
    <w:rsid w:val="00CF2FB5"/>
    <w:rsid w:val="00CF32F8"/>
    <w:rsid w:val="00CF5541"/>
    <w:rsid w:val="00CF5632"/>
    <w:rsid w:val="00CF7162"/>
    <w:rsid w:val="00CF779B"/>
    <w:rsid w:val="00D002B0"/>
    <w:rsid w:val="00D02C2A"/>
    <w:rsid w:val="00D02DAB"/>
    <w:rsid w:val="00D055F7"/>
    <w:rsid w:val="00D07EC8"/>
    <w:rsid w:val="00D07FA6"/>
    <w:rsid w:val="00D15350"/>
    <w:rsid w:val="00D16F11"/>
    <w:rsid w:val="00D23EB7"/>
    <w:rsid w:val="00D25F91"/>
    <w:rsid w:val="00D26BDA"/>
    <w:rsid w:val="00D304C5"/>
    <w:rsid w:val="00D323B1"/>
    <w:rsid w:val="00D366D8"/>
    <w:rsid w:val="00D368E0"/>
    <w:rsid w:val="00D415BD"/>
    <w:rsid w:val="00D41F66"/>
    <w:rsid w:val="00D41FD4"/>
    <w:rsid w:val="00D5613E"/>
    <w:rsid w:val="00D56D92"/>
    <w:rsid w:val="00D6012E"/>
    <w:rsid w:val="00D62346"/>
    <w:rsid w:val="00D6385E"/>
    <w:rsid w:val="00D669CF"/>
    <w:rsid w:val="00D6738E"/>
    <w:rsid w:val="00D67E17"/>
    <w:rsid w:val="00D70F02"/>
    <w:rsid w:val="00D73549"/>
    <w:rsid w:val="00D73E80"/>
    <w:rsid w:val="00D7440A"/>
    <w:rsid w:val="00D7502A"/>
    <w:rsid w:val="00D75E71"/>
    <w:rsid w:val="00D82A9F"/>
    <w:rsid w:val="00D82E49"/>
    <w:rsid w:val="00D830E4"/>
    <w:rsid w:val="00D83E48"/>
    <w:rsid w:val="00D871D7"/>
    <w:rsid w:val="00D87289"/>
    <w:rsid w:val="00D87B4F"/>
    <w:rsid w:val="00D87CCB"/>
    <w:rsid w:val="00D91CCA"/>
    <w:rsid w:val="00D932E2"/>
    <w:rsid w:val="00D93920"/>
    <w:rsid w:val="00D9465B"/>
    <w:rsid w:val="00D951C7"/>
    <w:rsid w:val="00D9711B"/>
    <w:rsid w:val="00DA03DA"/>
    <w:rsid w:val="00DA14EF"/>
    <w:rsid w:val="00DA2DED"/>
    <w:rsid w:val="00DA3767"/>
    <w:rsid w:val="00DA3876"/>
    <w:rsid w:val="00DA46A5"/>
    <w:rsid w:val="00DA5E18"/>
    <w:rsid w:val="00DA60A1"/>
    <w:rsid w:val="00DA7A0D"/>
    <w:rsid w:val="00DB0126"/>
    <w:rsid w:val="00DB2279"/>
    <w:rsid w:val="00DB2F15"/>
    <w:rsid w:val="00DB6069"/>
    <w:rsid w:val="00DC2DF9"/>
    <w:rsid w:val="00DC6E60"/>
    <w:rsid w:val="00DD089B"/>
    <w:rsid w:val="00DD092F"/>
    <w:rsid w:val="00DD1232"/>
    <w:rsid w:val="00DD16AF"/>
    <w:rsid w:val="00DD292D"/>
    <w:rsid w:val="00DD2D22"/>
    <w:rsid w:val="00DD3B78"/>
    <w:rsid w:val="00DD42ED"/>
    <w:rsid w:val="00DD4EB1"/>
    <w:rsid w:val="00DD76FB"/>
    <w:rsid w:val="00DE0F64"/>
    <w:rsid w:val="00DE1B44"/>
    <w:rsid w:val="00DE64B9"/>
    <w:rsid w:val="00DE769A"/>
    <w:rsid w:val="00DF6ADF"/>
    <w:rsid w:val="00E056D3"/>
    <w:rsid w:val="00E0620C"/>
    <w:rsid w:val="00E13D05"/>
    <w:rsid w:val="00E16E85"/>
    <w:rsid w:val="00E23163"/>
    <w:rsid w:val="00E2668A"/>
    <w:rsid w:val="00E316D6"/>
    <w:rsid w:val="00E33D42"/>
    <w:rsid w:val="00E40558"/>
    <w:rsid w:val="00E423B4"/>
    <w:rsid w:val="00E42D64"/>
    <w:rsid w:val="00E430F1"/>
    <w:rsid w:val="00E4706C"/>
    <w:rsid w:val="00E47D87"/>
    <w:rsid w:val="00E5456A"/>
    <w:rsid w:val="00E5510D"/>
    <w:rsid w:val="00E623FA"/>
    <w:rsid w:val="00E62741"/>
    <w:rsid w:val="00E62C3D"/>
    <w:rsid w:val="00E63E70"/>
    <w:rsid w:val="00E662B0"/>
    <w:rsid w:val="00E746C8"/>
    <w:rsid w:val="00E7471D"/>
    <w:rsid w:val="00E76C83"/>
    <w:rsid w:val="00E76E30"/>
    <w:rsid w:val="00E7728F"/>
    <w:rsid w:val="00E77DCD"/>
    <w:rsid w:val="00E80AEB"/>
    <w:rsid w:val="00E82491"/>
    <w:rsid w:val="00E832E0"/>
    <w:rsid w:val="00E8613F"/>
    <w:rsid w:val="00E861B0"/>
    <w:rsid w:val="00E86FE4"/>
    <w:rsid w:val="00E96BC9"/>
    <w:rsid w:val="00EA301B"/>
    <w:rsid w:val="00EA48FE"/>
    <w:rsid w:val="00EA5760"/>
    <w:rsid w:val="00EB2989"/>
    <w:rsid w:val="00EB3B5F"/>
    <w:rsid w:val="00EB5433"/>
    <w:rsid w:val="00EB58CB"/>
    <w:rsid w:val="00EC3703"/>
    <w:rsid w:val="00EC3CFD"/>
    <w:rsid w:val="00EC470D"/>
    <w:rsid w:val="00EC6DAC"/>
    <w:rsid w:val="00ED0D5E"/>
    <w:rsid w:val="00ED1705"/>
    <w:rsid w:val="00ED3558"/>
    <w:rsid w:val="00ED3F9C"/>
    <w:rsid w:val="00ED5235"/>
    <w:rsid w:val="00EE087E"/>
    <w:rsid w:val="00EE482D"/>
    <w:rsid w:val="00EE4E92"/>
    <w:rsid w:val="00EE6441"/>
    <w:rsid w:val="00EE6F49"/>
    <w:rsid w:val="00EF0E21"/>
    <w:rsid w:val="00EF2B78"/>
    <w:rsid w:val="00EF3C2D"/>
    <w:rsid w:val="00EF49D4"/>
    <w:rsid w:val="00EF6940"/>
    <w:rsid w:val="00EF707B"/>
    <w:rsid w:val="00EF7E9A"/>
    <w:rsid w:val="00F01A4A"/>
    <w:rsid w:val="00F02665"/>
    <w:rsid w:val="00F02D8D"/>
    <w:rsid w:val="00F040F9"/>
    <w:rsid w:val="00F04D42"/>
    <w:rsid w:val="00F10289"/>
    <w:rsid w:val="00F10440"/>
    <w:rsid w:val="00F108A6"/>
    <w:rsid w:val="00F10BA2"/>
    <w:rsid w:val="00F10FC9"/>
    <w:rsid w:val="00F11C13"/>
    <w:rsid w:val="00F148C7"/>
    <w:rsid w:val="00F1493D"/>
    <w:rsid w:val="00F208B7"/>
    <w:rsid w:val="00F20F5B"/>
    <w:rsid w:val="00F21182"/>
    <w:rsid w:val="00F21EFE"/>
    <w:rsid w:val="00F2416A"/>
    <w:rsid w:val="00F24C64"/>
    <w:rsid w:val="00F259CD"/>
    <w:rsid w:val="00F26F8B"/>
    <w:rsid w:val="00F34774"/>
    <w:rsid w:val="00F40E76"/>
    <w:rsid w:val="00F42CF7"/>
    <w:rsid w:val="00F42FD4"/>
    <w:rsid w:val="00F44B46"/>
    <w:rsid w:val="00F46B44"/>
    <w:rsid w:val="00F46FB3"/>
    <w:rsid w:val="00F4784D"/>
    <w:rsid w:val="00F50C93"/>
    <w:rsid w:val="00F51245"/>
    <w:rsid w:val="00F54018"/>
    <w:rsid w:val="00F556B6"/>
    <w:rsid w:val="00F556BF"/>
    <w:rsid w:val="00F6167B"/>
    <w:rsid w:val="00F65D14"/>
    <w:rsid w:val="00F66E5E"/>
    <w:rsid w:val="00F673D9"/>
    <w:rsid w:val="00F713FE"/>
    <w:rsid w:val="00F74D3D"/>
    <w:rsid w:val="00F76031"/>
    <w:rsid w:val="00F7647B"/>
    <w:rsid w:val="00F77894"/>
    <w:rsid w:val="00F81E0E"/>
    <w:rsid w:val="00F81E74"/>
    <w:rsid w:val="00F9335C"/>
    <w:rsid w:val="00F9373D"/>
    <w:rsid w:val="00F95E6D"/>
    <w:rsid w:val="00F96E2E"/>
    <w:rsid w:val="00FA12EE"/>
    <w:rsid w:val="00FA1735"/>
    <w:rsid w:val="00FA28CB"/>
    <w:rsid w:val="00FA357F"/>
    <w:rsid w:val="00FA67DA"/>
    <w:rsid w:val="00FA7571"/>
    <w:rsid w:val="00FB1BC7"/>
    <w:rsid w:val="00FB2D4D"/>
    <w:rsid w:val="00FB34D4"/>
    <w:rsid w:val="00FB46D2"/>
    <w:rsid w:val="00FC071A"/>
    <w:rsid w:val="00FC0DFB"/>
    <w:rsid w:val="00FC1781"/>
    <w:rsid w:val="00FC239B"/>
    <w:rsid w:val="00FC2C9F"/>
    <w:rsid w:val="00FC353D"/>
    <w:rsid w:val="00FC46CF"/>
    <w:rsid w:val="00FC55CF"/>
    <w:rsid w:val="00FC70C9"/>
    <w:rsid w:val="00FC739A"/>
    <w:rsid w:val="00FD1CCC"/>
    <w:rsid w:val="00FD210E"/>
    <w:rsid w:val="00FD2FEA"/>
    <w:rsid w:val="00FE1A82"/>
    <w:rsid w:val="00FE2DF9"/>
    <w:rsid w:val="00FE5870"/>
    <w:rsid w:val="00FE6921"/>
    <w:rsid w:val="00FF0E85"/>
    <w:rsid w:val="00FF21CB"/>
    <w:rsid w:val="00FF4EC4"/>
    <w:rsid w:val="00FF7923"/>
    <w:rsid w:val="011204A3"/>
    <w:rsid w:val="019DCEDF"/>
    <w:rsid w:val="01CDCD74"/>
    <w:rsid w:val="02AB2BFD"/>
    <w:rsid w:val="06471A44"/>
    <w:rsid w:val="0975245F"/>
    <w:rsid w:val="0AB4A275"/>
    <w:rsid w:val="0B80CE5C"/>
    <w:rsid w:val="0CF1AE7A"/>
    <w:rsid w:val="0E08C5FD"/>
    <w:rsid w:val="1035490A"/>
    <w:rsid w:val="133D766A"/>
    <w:rsid w:val="1433F713"/>
    <w:rsid w:val="164BEC37"/>
    <w:rsid w:val="16DF4D94"/>
    <w:rsid w:val="18A4E661"/>
    <w:rsid w:val="1AAD5A10"/>
    <w:rsid w:val="1AE2B9F1"/>
    <w:rsid w:val="1C2048BA"/>
    <w:rsid w:val="1C8F610C"/>
    <w:rsid w:val="21CC9EE7"/>
    <w:rsid w:val="2A0A7155"/>
    <w:rsid w:val="3306D197"/>
    <w:rsid w:val="34188AF5"/>
    <w:rsid w:val="372F7F28"/>
    <w:rsid w:val="392F787A"/>
    <w:rsid w:val="39B5F09D"/>
    <w:rsid w:val="3B3C1020"/>
    <w:rsid w:val="3B6C66D4"/>
    <w:rsid w:val="3B7EC066"/>
    <w:rsid w:val="3C9949E8"/>
    <w:rsid w:val="3E9606AF"/>
    <w:rsid w:val="49F30531"/>
    <w:rsid w:val="4A9EF4D5"/>
    <w:rsid w:val="4B62F8C1"/>
    <w:rsid w:val="4BD85456"/>
    <w:rsid w:val="4F3A239E"/>
    <w:rsid w:val="4F45CC78"/>
    <w:rsid w:val="51B038F0"/>
    <w:rsid w:val="51ED1287"/>
    <w:rsid w:val="54060889"/>
    <w:rsid w:val="572663CB"/>
    <w:rsid w:val="5993CE7E"/>
    <w:rsid w:val="5A823D55"/>
    <w:rsid w:val="5CEAA770"/>
    <w:rsid w:val="5EECFEEF"/>
    <w:rsid w:val="60EFA4A2"/>
    <w:rsid w:val="62919482"/>
    <w:rsid w:val="643185D5"/>
    <w:rsid w:val="65B3BE7F"/>
    <w:rsid w:val="66D52D36"/>
    <w:rsid w:val="673C4D5F"/>
    <w:rsid w:val="6A989006"/>
    <w:rsid w:val="6DC4BC63"/>
    <w:rsid w:val="6E05E2F1"/>
    <w:rsid w:val="70BC91B7"/>
    <w:rsid w:val="74917A86"/>
    <w:rsid w:val="76DC932A"/>
    <w:rsid w:val="7AC44182"/>
    <w:rsid w:val="7D07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4208"/>
  <w15:chartTrackingRefBased/>
  <w15:docId w15:val="{6CD4959A-99A4-4591-9A98-CE983A5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2BD"/>
    <w:pPr>
      <w:keepNext/>
      <w:spacing w:after="0" w:line="240" w:lineRule="auto"/>
      <w:jc w:val="center"/>
      <w:outlineLvl w:val="0"/>
    </w:pPr>
    <w:rPr>
      <w:rFonts w:ascii="Arial" w:eastAsia="Times New Roman" w:hAnsi="Arial" w:cs="Times New Roman"/>
      <w:b/>
      <w:bCs/>
      <w:sz w:val="24"/>
      <w:szCs w:val="24"/>
    </w:rPr>
  </w:style>
  <w:style w:type="paragraph" w:styleId="Heading2">
    <w:name w:val="heading 2"/>
    <w:next w:val="Normal"/>
    <w:link w:val="Heading2Char"/>
    <w:uiPriority w:val="9"/>
    <w:unhideWhenUsed/>
    <w:qFormat/>
    <w:rsid w:val="005242BD"/>
    <w:pPr>
      <w:keepNext/>
      <w:keepLines/>
      <w:spacing w:after="5" w:line="249" w:lineRule="auto"/>
      <w:ind w:left="371"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orkplan">
    <w:name w:val="Workplan"/>
    <w:basedOn w:val="TableNormal"/>
    <w:uiPriority w:val="99"/>
    <w:rsid w:val="004F2CDB"/>
    <w:pPr>
      <w:spacing w:after="0" w:line="240" w:lineRule="auto"/>
    </w:pPr>
    <w:rPr>
      <w:rFonts w:ascii="Arial" w:hAnsi="Arial" w:cs="Arial"/>
      <w:sz w:val="24"/>
      <w:szCs w:val="24"/>
    </w:rPr>
    <w:tblPr>
      <w:tblStyleRowBandSize w:val="1"/>
    </w:tblPr>
    <w:tcPr>
      <w:shd w:val="clear" w:color="auto" w:fill="BFBFBF" w:themeFill="background1" w:themeFillShade="BF"/>
      <w:tcMar>
        <w:top w:w="85" w:type="dxa"/>
        <w:bottom w:w="85" w:type="dxa"/>
      </w:tcMar>
    </w:tcPr>
    <w:tblStylePr w:type="band1Horz">
      <w:pPr>
        <w:jc w:val="center"/>
      </w:pPr>
      <w:tblPr/>
      <w:tcPr>
        <w:tcBorders>
          <w:top w:val="nil"/>
          <w:left w:val="nil"/>
          <w:bottom w:val="nil"/>
          <w:right w:val="nil"/>
          <w:insideH w:val="nil"/>
          <w:insideV w:val="nil"/>
        </w:tcBorders>
        <w:shd w:val="clear" w:color="auto" w:fill="D9D9D9" w:themeFill="background1" w:themeFillShade="D9"/>
      </w:tcPr>
    </w:tblStylePr>
    <w:tblStylePr w:type="band2Horz">
      <w:rPr>
        <w:rFonts w:ascii="Arial" w:hAnsi="Arial"/>
        <w:sz w:val="24"/>
      </w:rPr>
      <w:tblPr/>
      <w:tcPr>
        <w:tcBorders>
          <w:top w:val="nil"/>
          <w:left w:val="nil"/>
          <w:bottom w:val="nil"/>
          <w:right w:val="nil"/>
          <w:insideH w:val="nil"/>
          <w:insideV w:val="nil"/>
        </w:tcBorders>
        <w:shd w:val="clear" w:color="auto" w:fill="B4C6E7" w:themeFill="accent1" w:themeFillTint="66"/>
      </w:tcPr>
    </w:tblStylePr>
  </w:style>
  <w:style w:type="table" w:styleId="GridTable2-Accent1">
    <w:name w:val="Grid Table 2 Accent 1"/>
    <w:basedOn w:val="TableNormal"/>
    <w:uiPriority w:val="47"/>
    <w:rsid w:val="0017011B"/>
    <w:pPr>
      <w:spacing w:after="0" w:line="240" w:lineRule="auto"/>
    </w:pPr>
    <w:rPr>
      <w:rFonts w:ascii="Arial" w:hAnsi="Arial" w:cs="Arial"/>
      <w:sz w:val="24"/>
      <w:szCs w:val="24"/>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C6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72"/>
  </w:style>
  <w:style w:type="paragraph" w:styleId="Footer">
    <w:name w:val="footer"/>
    <w:basedOn w:val="Normal"/>
    <w:link w:val="FooterChar"/>
    <w:uiPriority w:val="99"/>
    <w:unhideWhenUsed/>
    <w:rsid w:val="00C6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72"/>
  </w:style>
  <w:style w:type="table" w:styleId="TableGrid">
    <w:name w:val="Table Grid"/>
    <w:basedOn w:val="TableNormal"/>
    <w:uiPriority w:val="39"/>
    <w:rsid w:val="00C6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WTG 3rd Level Text"/>
    <w:basedOn w:val="Normal"/>
    <w:link w:val="ListParagraphChar"/>
    <w:uiPriority w:val="99"/>
    <w:qFormat/>
    <w:rsid w:val="009D6B41"/>
    <w:pPr>
      <w:ind w:left="720"/>
      <w:contextualSpacing/>
    </w:pPr>
  </w:style>
  <w:style w:type="paragraph" w:styleId="NoSpacing">
    <w:name w:val="No Spacing"/>
    <w:link w:val="NoSpacingChar"/>
    <w:uiPriority w:val="1"/>
    <w:qFormat/>
    <w:rsid w:val="002570BA"/>
    <w:pPr>
      <w:spacing w:after="0" w:line="240" w:lineRule="auto"/>
    </w:pPr>
  </w:style>
  <w:style w:type="character" w:customStyle="1" w:styleId="Heading1Char">
    <w:name w:val="Heading 1 Char"/>
    <w:basedOn w:val="DefaultParagraphFont"/>
    <w:link w:val="Heading1"/>
    <w:uiPriority w:val="9"/>
    <w:rsid w:val="005242BD"/>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5242BD"/>
    <w:rPr>
      <w:rFonts w:ascii="Arial" w:eastAsia="Arial" w:hAnsi="Arial" w:cs="Arial"/>
      <w:b/>
      <w:color w:val="000000"/>
      <w:lang w:eastAsia="en-GB"/>
    </w:rPr>
  </w:style>
  <w:style w:type="paragraph" w:customStyle="1" w:styleId="Default">
    <w:name w:val="Default"/>
    <w:rsid w:val="005242B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0620C"/>
    <w:rPr>
      <w:sz w:val="16"/>
      <w:szCs w:val="16"/>
    </w:rPr>
  </w:style>
  <w:style w:type="paragraph" w:styleId="CommentText">
    <w:name w:val="annotation text"/>
    <w:basedOn w:val="Normal"/>
    <w:link w:val="CommentTextChar"/>
    <w:uiPriority w:val="99"/>
    <w:unhideWhenUsed/>
    <w:rsid w:val="00E0620C"/>
    <w:pPr>
      <w:spacing w:line="240" w:lineRule="auto"/>
    </w:pPr>
    <w:rPr>
      <w:sz w:val="20"/>
      <w:szCs w:val="20"/>
    </w:rPr>
  </w:style>
  <w:style w:type="character" w:customStyle="1" w:styleId="CommentTextChar">
    <w:name w:val="Comment Text Char"/>
    <w:basedOn w:val="DefaultParagraphFont"/>
    <w:link w:val="CommentText"/>
    <w:uiPriority w:val="99"/>
    <w:rsid w:val="00E0620C"/>
    <w:rPr>
      <w:sz w:val="20"/>
      <w:szCs w:val="20"/>
    </w:rPr>
  </w:style>
  <w:style w:type="paragraph" w:styleId="CommentSubject">
    <w:name w:val="annotation subject"/>
    <w:basedOn w:val="CommentText"/>
    <w:next w:val="CommentText"/>
    <w:link w:val="CommentSubjectChar"/>
    <w:uiPriority w:val="99"/>
    <w:semiHidden/>
    <w:unhideWhenUsed/>
    <w:rsid w:val="00E0620C"/>
    <w:rPr>
      <w:b/>
      <w:bCs/>
    </w:rPr>
  </w:style>
  <w:style w:type="character" w:customStyle="1" w:styleId="CommentSubjectChar">
    <w:name w:val="Comment Subject Char"/>
    <w:basedOn w:val="CommentTextChar"/>
    <w:link w:val="CommentSubject"/>
    <w:uiPriority w:val="99"/>
    <w:semiHidden/>
    <w:rsid w:val="00E0620C"/>
    <w:rPr>
      <w:b/>
      <w:bCs/>
      <w:sz w:val="20"/>
      <w:szCs w:val="20"/>
    </w:rPr>
  </w:style>
  <w:style w:type="paragraph" w:styleId="Revision">
    <w:name w:val="Revision"/>
    <w:hidden/>
    <w:uiPriority w:val="99"/>
    <w:semiHidden/>
    <w:rsid w:val="005D277D"/>
    <w:pPr>
      <w:spacing w:after="0" w:line="240" w:lineRule="auto"/>
    </w:pPr>
  </w:style>
  <w:style w:type="character" w:customStyle="1" w:styleId="ListParagraphChar">
    <w:name w:val="List Paragraph Char"/>
    <w:aliases w:val="WTG 3rd Level Text Char"/>
    <w:link w:val="ListParagraph"/>
    <w:uiPriority w:val="34"/>
    <w:locked/>
    <w:rsid w:val="0098711F"/>
  </w:style>
  <w:style w:type="paragraph" w:styleId="FootnoteText">
    <w:name w:val="footnote text"/>
    <w:basedOn w:val="Normal"/>
    <w:link w:val="FootnoteTextChar"/>
    <w:uiPriority w:val="99"/>
    <w:semiHidden/>
    <w:unhideWhenUsed/>
    <w:rsid w:val="007D270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D2704"/>
    <w:rPr>
      <w:rFonts w:ascii="Arial" w:hAnsi="Arial"/>
      <w:sz w:val="20"/>
      <w:szCs w:val="20"/>
    </w:rPr>
  </w:style>
  <w:style w:type="character" w:styleId="FootnoteReference">
    <w:name w:val="footnote reference"/>
    <w:basedOn w:val="DefaultParagraphFont"/>
    <w:uiPriority w:val="99"/>
    <w:semiHidden/>
    <w:unhideWhenUsed/>
    <w:rsid w:val="007D2704"/>
    <w:rPr>
      <w:vertAlign w:val="superscript"/>
    </w:rPr>
  </w:style>
  <w:style w:type="character" w:customStyle="1" w:styleId="cf01">
    <w:name w:val="cf01"/>
    <w:basedOn w:val="DefaultParagraphFont"/>
    <w:rsid w:val="0000439D"/>
    <w:rPr>
      <w:rFonts w:ascii="Segoe UI" w:hAnsi="Segoe UI" w:cs="Segoe UI" w:hint="default"/>
      <w:sz w:val="18"/>
      <w:szCs w:val="18"/>
    </w:rPr>
  </w:style>
  <w:style w:type="paragraph" w:customStyle="1" w:styleId="whitespace-normal">
    <w:name w:val="whitespace-normal"/>
    <w:basedOn w:val="Normal"/>
    <w:rsid w:val="00DE1B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334A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580349"/>
  </w:style>
  <w:style w:type="character" w:customStyle="1" w:styleId="cf11">
    <w:name w:val="cf11"/>
    <w:basedOn w:val="DefaultParagraphFont"/>
    <w:rsid w:val="0060050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27308">
      <w:bodyDiv w:val="1"/>
      <w:marLeft w:val="0"/>
      <w:marRight w:val="0"/>
      <w:marTop w:val="0"/>
      <w:marBottom w:val="0"/>
      <w:divBdr>
        <w:top w:val="none" w:sz="0" w:space="0" w:color="auto"/>
        <w:left w:val="none" w:sz="0" w:space="0" w:color="auto"/>
        <w:bottom w:val="none" w:sz="0" w:space="0" w:color="auto"/>
        <w:right w:val="none" w:sz="0" w:space="0" w:color="auto"/>
      </w:divBdr>
    </w:div>
    <w:div w:id="968441110">
      <w:bodyDiv w:val="1"/>
      <w:marLeft w:val="0"/>
      <w:marRight w:val="0"/>
      <w:marTop w:val="0"/>
      <w:marBottom w:val="0"/>
      <w:divBdr>
        <w:top w:val="none" w:sz="0" w:space="0" w:color="auto"/>
        <w:left w:val="none" w:sz="0" w:space="0" w:color="auto"/>
        <w:bottom w:val="none" w:sz="0" w:space="0" w:color="auto"/>
        <w:right w:val="none" w:sz="0" w:space="0" w:color="auto"/>
      </w:divBdr>
    </w:div>
    <w:div w:id="1175464237">
      <w:bodyDiv w:val="1"/>
      <w:marLeft w:val="0"/>
      <w:marRight w:val="0"/>
      <w:marTop w:val="0"/>
      <w:marBottom w:val="0"/>
      <w:divBdr>
        <w:top w:val="none" w:sz="0" w:space="0" w:color="auto"/>
        <w:left w:val="none" w:sz="0" w:space="0" w:color="auto"/>
        <w:bottom w:val="none" w:sz="0" w:space="0" w:color="auto"/>
        <w:right w:val="none" w:sz="0" w:space="0" w:color="auto"/>
      </w:divBdr>
    </w:div>
    <w:div w:id="1296914741">
      <w:bodyDiv w:val="1"/>
      <w:marLeft w:val="0"/>
      <w:marRight w:val="0"/>
      <w:marTop w:val="0"/>
      <w:marBottom w:val="0"/>
      <w:divBdr>
        <w:top w:val="none" w:sz="0" w:space="0" w:color="auto"/>
        <w:left w:val="none" w:sz="0" w:space="0" w:color="auto"/>
        <w:bottom w:val="none" w:sz="0" w:space="0" w:color="auto"/>
        <w:right w:val="none" w:sz="0" w:space="0" w:color="auto"/>
      </w:divBdr>
    </w:div>
    <w:div w:id="1575430975">
      <w:bodyDiv w:val="1"/>
      <w:marLeft w:val="0"/>
      <w:marRight w:val="0"/>
      <w:marTop w:val="0"/>
      <w:marBottom w:val="0"/>
      <w:divBdr>
        <w:top w:val="none" w:sz="0" w:space="0" w:color="auto"/>
        <w:left w:val="none" w:sz="0" w:space="0" w:color="auto"/>
        <w:bottom w:val="none" w:sz="0" w:space="0" w:color="auto"/>
        <w:right w:val="none" w:sz="0" w:space="0" w:color="auto"/>
      </w:divBdr>
    </w:div>
    <w:div w:id="1603763501">
      <w:bodyDiv w:val="1"/>
      <w:marLeft w:val="0"/>
      <w:marRight w:val="0"/>
      <w:marTop w:val="0"/>
      <w:marBottom w:val="0"/>
      <w:divBdr>
        <w:top w:val="none" w:sz="0" w:space="0" w:color="auto"/>
        <w:left w:val="none" w:sz="0" w:space="0" w:color="auto"/>
        <w:bottom w:val="none" w:sz="0" w:space="0" w:color="auto"/>
        <w:right w:val="none" w:sz="0" w:space="0" w:color="auto"/>
      </w:divBdr>
    </w:div>
    <w:div w:id="1702440573">
      <w:bodyDiv w:val="1"/>
      <w:marLeft w:val="0"/>
      <w:marRight w:val="0"/>
      <w:marTop w:val="0"/>
      <w:marBottom w:val="0"/>
      <w:divBdr>
        <w:top w:val="none" w:sz="0" w:space="0" w:color="auto"/>
        <w:left w:val="none" w:sz="0" w:space="0" w:color="auto"/>
        <w:bottom w:val="none" w:sz="0" w:space="0" w:color="auto"/>
        <w:right w:val="none" w:sz="0" w:space="0" w:color="auto"/>
      </w:divBdr>
    </w:div>
    <w:div w:id="1737897061">
      <w:bodyDiv w:val="1"/>
      <w:marLeft w:val="0"/>
      <w:marRight w:val="0"/>
      <w:marTop w:val="0"/>
      <w:marBottom w:val="0"/>
      <w:divBdr>
        <w:top w:val="none" w:sz="0" w:space="0" w:color="auto"/>
        <w:left w:val="none" w:sz="0" w:space="0" w:color="auto"/>
        <w:bottom w:val="none" w:sz="0" w:space="0" w:color="auto"/>
        <w:right w:val="none" w:sz="0" w:space="0" w:color="auto"/>
      </w:divBdr>
    </w:div>
    <w:div w:id="1786534703">
      <w:bodyDiv w:val="1"/>
      <w:marLeft w:val="0"/>
      <w:marRight w:val="0"/>
      <w:marTop w:val="0"/>
      <w:marBottom w:val="0"/>
      <w:divBdr>
        <w:top w:val="none" w:sz="0" w:space="0" w:color="auto"/>
        <w:left w:val="none" w:sz="0" w:space="0" w:color="auto"/>
        <w:bottom w:val="none" w:sz="0" w:space="0" w:color="auto"/>
        <w:right w:val="none" w:sz="0" w:space="0" w:color="auto"/>
      </w:divBdr>
    </w:div>
    <w:div w:id="2091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C198-884A-450B-A3F2-2CCD237A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Grahamslaw</dc:creator>
  <cp:keywords/>
  <dc:description/>
  <cp:lastModifiedBy>Sallie Turner</cp:lastModifiedBy>
  <cp:revision>11</cp:revision>
  <dcterms:created xsi:type="dcterms:W3CDTF">2026-02-09T14:29:00Z</dcterms:created>
  <dcterms:modified xsi:type="dcterms:W3CDTF">2026-02-09T15:05:00Z</dcterms:modified>
</cp:coreProperties>
</file>