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70E6D221" w14:textId="70186E4A" w:rsidR="00CB24A9" w:rsidRPr="00D77F13" w:rsidRDefault="00D77F13" w:rsidP="00D77F13">
      <w:pPr>
        <w:spacing w:after="0" w:line="240" w:lineRule="auto"/>
        <w:jc w:val="center"/>
        <w:rPr>
          <w:rFonts w:ascii="Arial" w:hAnsi="Arial" w:cs="Arial"/>
          <w:b/>
          <w:bCs/>
          <w:sz w:val="24"/>
          <w:szCs w:val="24"/>
        </w:rPr>
      </w:pPr>
      <w:r w:rsidRPr="00D77F13">
        <w:rPr>
          <w:rFonts w:ascii="Arial" w:hAnsi="Arial" w:cs="Arial"/>
          <w:b/>
          <w:bCs/>
          <w:sz w:val="24"/>
          <w:szCs w:val="24"/>
        </w:rPr>
        <w:t xml:space="preserve">NHS Equality Delivery System </w:t>
      </w:r>
    </w:p>
    <w:p w14:paraId="22C48C28" w14:textId="044A9892" w:rsidR="00D77F13" w:rsidRPr="00D77F13" w:rsidRDefault="00D77F13" w:rsidP="00D77F13">
      <w:pPr>
        <w:spacing w:after="0" w:line="240" w:lineRule="auto"/>
        <w:jc w:val="center"/>
        <w:rPr>
          <w:rFonts w:ascii="Arial" w:hAnsi="Arial" w:cs="Arial"/>
          <w:b/>
          <w:bCs/>
          <w:sz w:val="24"/>
          <w:szCs w:val="24"/>
        </w:rPr>
      </w:pPr>
      <w:r w:rsidRPr="00D77F13">
        <w:rPr>
          <w:rFonts w:ascii="Arial" w:hAnsi="Arial" w:cs="Arial"/>
          <w:b/>
          <w:bCs/>
          <w:sz w:val="24"/>
          <w:szCs w:val="24"/>
        </w:rPr>
        <w:t>Domain 3 DRAFT Self Assessed Grades</w:t>
      </w:r>
      <w:r w:rsidR="003603AC">
        <w:rPr>
          <w:rFonts w:ascii="Arial" w:hAnsi="Arial" w:cs="Arial"/>
          <w:b/>
          <w:bCs/>
          <w:sz w:val="24"/>
          <w:szCs w:val="24"/>
        </w:rPr>
        <w:t xml:space="preserve"> 2026</w:t>
      </w:r>
    </w:p>
    <w:p w14:paraId="61B1B3C9" w14:textId="77777777" w:rsidR="00D77F13" w:rsidRDefault="00D77F13" w:rsidP="00D77F13">
      <w:pPr>
        <w:spacing w:after="0" w:line="240" w:lineRule="auto"/>
        <w:rPr>
          <w:b/>
          <w:bCs/>
        </w:rPr>
      </w:pPr>
    </w:p>
    <w:tbl>
      <w:tblPr>
        <w:tblStyle w:val="TableGrid"/>
        <w:tblpPr w:leftFromText="180" w:rightFromText="180" w:vertAnchor="text" w:tblpY="1"/>
        <w:tblOverlap w:val="neve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1094"/>
        <w:gridCol w:w="2568"/>
        <w:gridCol w:w="7390"/>
        <w:gridCol w:w="1104"/>
        <w:gridCol w:w="1792"/>
      </w:tblGrid>
      <w:tr w:rsidR="00D77F13" w:rsidRPr="009D1CC6" w14:paraId="786DF7BC" w14:textId="77777777" w:rsidTr="006331A6">
        <w:trPr>
          <w:trHeight w:val="364"/>
          <w:tblHeader/>
        </w:trPr>
        <w:tc>
          <w:tcPr>
            <w:tcW w:w="1094" w:type="dxa"/>
            <w:shd w:val="clear" w:color="auto" w:fill="D9E2F3" w:themeFill="accent1" w:themeFillTint="33"/>
          </w:tcPr>
          <w:p w14:paraId="432910E4" w14:textId="77777777" w:rsidR="00D77F13" w:rsidRPr="009D1CC6" w:rsidRDefault="00D77F13" w:rsidP="004B3F02">
            <w:pPr>
              <w:rPr>
                <w:rFonts w:cs="Arial"/>
                <w:b/>
              </w:rPr>
            </w:pPr>
            <w:r w:rsidRPr="009D1CC6">
              <w:rPr>
                <w:rFonts w:cs="Arial"/>
                <w:b/>
              </w:rPr>
              <w:t>Domain</w:t>
            </w:r>
          </w:p>
        </w:tc>
        <w:tc>
          <w:tcPr>
            <w:tcW w:w="2568" w:type="dxa"/>
            <w:shd w:val="clear" w:color="auto" w:fill="D9E2F3" w:themeFill="accent1" w:themeFillTint="33"/>
          </w:tcPr>
          <w:p w14:paraId="1979C216" w14:textId="77777777" w:rsidR="00D77F13" w:rsidRPr="009D1CC6" w:rsidRDefault="00D77F13" w:rsidP="004B3F02">
            <w:pPr>
              <w:rPr>
                <w:rFonts w:cs="Arial"/>
                <w:b/>
              </w:rPr>
            </w:pPr>
            <w:r w:rsidRPr="009D1CC6">
              <w:rPr>
                <w:rFonts w:cs="Arial"/>
                <w:b/>
              </w:rPr>
              <w:t>Outcome</w:t>
            </w:r>
          </w:p>
        </w:tc>
        <w:tc>
          <w:tcPr>
            <w:tcW w:w="7390" w:type="dxa"/>
            <w:shd w:val="clear" w:color="auto" w:fill="D9E2F3" w:themeFill="accent1" w:themeFillTint="33"/>
          </w:tcPr>
          <w:p w14:paraId="6F1795DD" w14:textId="77777777" w:rsidR="00D77F13" w:rsidRPr="009D1CC6" w:rsidRDefault="00D77F13" w:rsidP="004B3F02">
            <w:pPr>
              <w:rPr>
                <w:rFonts w:cs="Arial"/>
                <w:b/>
              </w:rPr>
            </w:pPr>
            <w:r w:rsidRPr="009D1CC6">
              <w:rPr>
                <w:rFonts w:cs="Arial"/>
                <w:b/>
              </w:rPr>
              <w:t xml:space="preserve">Evidence </w:t>
            </w:r>
          </w:p>
        </w:tc>
        <w:tc>
          <w:tcPr>
            <w:tcW w:w="1104" w:type="dxa"/>
            <w:shd w:val="clear" w:color="auto" w:fill="D9E2F3" w:themeFill="accent1" w:themeFillTint="33"/>
          </w:tcPr>
          <w:p w14:paraId="76DD3140" w14:textId="77777777" w:rsidR="00D77F13" w:rsidRPr="009D1CC6" w:rsidRDefault="00D77F13" w:rsidP="004B3F02">
            <w:pPr>
              <w:rPr>
                <w:rFonts w:cs="Arial"/>
                <w:b/>
              </w:rPr>
            </w:pPr>
            <w:r w:rsidRPr="009D1CC6">
              <w:rPr>
                <w:rFonts w:cs="Arial"/>
                <w:b/>
              </w:rPr>
              <w:t>Rating</w:t>
            </w:r>
          </w:p>
        </w:tc>
        <w:tc>
          <w:tcPr>
            <w:tcW w:w="1792" w:type="dxa"/>
            <w:shd w:val="clear" w:color="auto" w:fill="D9E2F3" w:themeFill="accent1" w:themeFillTint="33"/>
          </w:tcPr>
          <w:p w14:paraId="1EB748BB" w14:textId="77777777" w:rsidR="00D77F13" w:rsidRPr="009D1CC6" w:rsidRDefault="00D77F13" w:rsidP="004B3F02">
            <w:pPr>
              <w:rPr>
                <w:rFonts w:cs="Arial"/>
                <w:b/>
              </w:rPr>
            </w:pPr>
            <w:r w:rsidRPr="009D1CC6">
              <w:rPr>
                <w:rFonts w:cs="Arial"/>
                <w:b/>
              </w:rPr>
              <w:t>Owner (Dept/Lead)</w:t>
            </w:r>
          </w:p>
        </w:tc>
      </w:tr>
      <w:tr w:rsidR="00D77F13" w:rsidRPr="009D1CC6" w14:paraId="0F3A2325" w14:textId="77777777" w:rsidTr="006331A6">
        <w:trPr>
          <w:cantSplit/>
          <w:trHeight w:val="945"/>
        </w:trPr>
        <w:tc>
          <w:tcPr>
            <w:tcW w:w="1094" w:type="dxa"/>
            <w:vMerge w:val="restart"/>
            <w:shd w:val="clear" w:color="auto" w:fill="D9E2F3" w:themeFill="accent1" w:themeFillTint="33"/>
            <w:textDirection w:val="btLr"/>
            <w:vAlign w:val="center"/>
          </w:tcPr>
          <w:p w14:paraId="2DC5E447" w14:textId="77777777" w:rsidR="00D77F13" w:rsidRPr="009D1CC6" w:rsidRDefault="00D77F13" w:rsidP="004B3F02">
            <w:pPr>
              <w:jc w:val="center"/>
              <w:rPr>
                <w:rFonts w:cs="Arial"/>
                <w:b/>
                <w:i/>
              </w:rPr>
            </w:pPr>
            <w:r w:rsidRPr="009D1CC6">
              <w:rPr>
                <w:rFonts w:cs="Arial"/>
                <w:b/>
                <w:i/>
              </w:rPr>
              <w:t>Domain 3:</w:t>
            </w:r>
          </w:p>
          <w:p w14:paraId="1BD350BC" w14:textId="77777777" w:rsidR="00D77F13" w:rsidRPr="009D1CC6" w:rsidRDefault="00D77F13" w:rsidP="004B3F02">
            <w:pPr>
              <w:jc w:val="center"/>
              <w:rPr>
                <w:rFonts w:cs="Arial"/>
                <w:b/>
                <w:i/>
              </w:rPr>
            </w:pPr>
            <w:r w:rsidRPr="009D1CC6">
              <w:rPr>
                <w:rFonts w:cs="Arial"/>
                <w:b/>
                <w:i/>
              </w:rPr>
              <w:t xml:space="preserve"> Inclusive leadership</w:t>
            </w:r>
          </w:p>
          <w:p w14:paraId="14CD0714" w14:textId="77777777" w:rsidR="00D77F13" w:rsidRPr="009D1CC6" w:rsidRDefault="00D77F13" w:rsidP="004B3F02">
            <w:pPr>
              <w:jc w:val="center"/>
              <w:rPr>
                <w:rFonts w:cs="Arial"/>
              </w:rPr>
            </w:pPr>
          </w:p>
        </w:tc>
        <w:tc>
          <w:tcPr>
            <w:tcW w:w="2568" w:type="dxa"/>
            <w:shd w:val="clear" w:color="auto" w:fill="D9E2F3" w:themeFill="accent1" w:themeFillTint="33"/>
          </w:tcPr>
          <w:p w14:paraId="18954862" w14:textId="77777777" w:rsidR="00D77F13" w:rsidRPr="009D1CC6" w:rsidRDefault="00D77F13" w:rsidP="004B3F02">
            <w:pPr>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7390" w:type="dxa"/>
          </w:tcPr>
          <w:p w14:paraId="3206A155" w14:textId="77777777" w:rsidR="00D77F13" w:rsidRPr="00580087" w:rsidRDefault="00D77F13" w:rsidP="00D77F13">
            <w:pPr>
              <w:numPr>
                <w:ilvl w:val="0"/>
                <w:numId w:val="1"/>
              </w:numPr>
              <w:tabs>
                <w:tab w:val="clear" w:pos="360"/>
                <w:tab w:val="num" w:pos="720"/>
              </w:tabs>
              <w:rPr>
                <w:rFonts w:cs="Arial"/>
              </w:rPr>
            </w:pPr>
            <w:r w:rsidRPr="00580087">
              <w:rPr>
                <w:rFonts w:cs="Arial"/>
              </w:rPr>
              <w:t>Exec</w:t>
            </w:r>
            <w:r>
              <w:rPr>
                <w:rFonts w:cs="Arial"/>
              </w:rPr>
              <w:t>utive</w:t>
            </w:r>
            <w:r w:rsidRPr="00580087">
              <w:rPr>
                <w:rFonts w:cs="Arial"/>
              </w:rPr>
              <w:t xml:space="preserve"> Board members have EDI goals in place. </w:t>
            </w:r>
            <w:r>
              <w:rPr>
                <w:rFonts w:cs="Arial"/>
              </w:rPr>
              <w:t>These are monitored via supervisions and appraisals.</w:t>
            </w:r>
          </w:p>
          <w:p w14:paraId="43680987" w14:textId="77777777" w:rsidR="00D77F13" w:rsidRPr="00580087" w:rsidRDefault="00D77F13" w:rsidP="00D77F13">
            <w:pPr>
              <w:numPr>
                <w:ilvl w:val="0"/>
                <w:numId w:val="1"/>
              </w:numPr>
              <w:tabs>
                <w:tab w:val="clear" w:pos="360"/>
                <w:tab w:val="num" w:pos="720"/>
              </w:tabs>
              <w:rPr>
                <w:rFonts w:cs="Arial"/>
              </w:rPr>
            </w:pPr>
            <w:r w:rsidRPr="00580087">
              <w:rPr>
                <w:rFonts w:cs="Arial"/>
              </w:rPr>
              <w:t xml:space="preserve">All Staff Broadcasts </w:t>
            </w:r>
            <w:r>
              <w:rPr>
                <w:rFonts w:cs="Arial"/>
              </w:rPr>
              <w:t xml:space="preserve">are planned, designed and </w:t>
            </w:r>
            <w:r w:rsidRPr="00580087">
              <w:rPr>
                <w:rFonts w:cs="Arial"/>
              </w:rPr>
              <w:t>led by Exec</w:t>
            </w:r>
            <w:r>
              <w:rPr>
                <w:rFonts w:cs="Arial"/>
              </w:rPr>
              <w:t>utive</w:t>
            </w:r>
            <w:r w:rsidRPr="00580087">
              <w:rPr>
                <w:rFonts w:cs="Arial"/>
              </w:rPr>
              <w:t xml:space="preserve">s </w:t>
            </w:r>
            <w:r>
              <w:rPr>
                <w:rFonts w:cs="Arial"/>
              </w:rPr>
              <w:t xml:space="preserve">and </w:t>
            </w:r>
            <w:r w:rsidRPr="00580087">
              <w:rPr>
                <w:rFonts w:cs="Arial"/>
              </w:rPr>
              <w:t xml:space="preserve">feature regular EDI lived experience themes. </w:t>
            </w:r>
          </w:p>
          <w:p w14:paraId="09425D1C" w14:textId="77777777" w:rsidR="00D77F13" w:rsidRPr="00580087" w:rsidRDefault="00D77F13" w:rsidP="00D77F13">
            <w:pPr>
              <w:numPr>
                <w:ilvl w:val="0"/>
                <w:numId w:val="1"/>
              </w:numPr>
              <w:tabs>
                <w:tab w:val="clear" w:pos="360"/>
                <w:tab w:val="num" w:pos="720"/>
              </w:tabs>
              <w:rPr>
                <w:rFonts w:cs="Arial"/>
              </w:rPr>
            </w:pPr>
            <w:r w:rsidRPr="00580087">
              <w:rPr>
                <w:rFonts w:cs="Arial"/>
              </w:rPr>
              <w:t xml:space="preserve">Board Committee structures have regular discussions about EDI workforce data through Belonging and Inclusion Plan updates and dashboards, WRES and WDES reports, Gender Pay Gap reports, staff network updates and reports. </w:t>
            </w:r>
          </w:p>
          <w:p w14:paraId="51FA9F36" w14:textId="77777777" w:rsidR="00D77F13" w:rsidRDefault="00D77F13" w:rsidP="00D77F13">
            <w:pPr>
              <w:numPr>
                <w:ilvl w:val="0"/>
                <w:numId w:val="1"/>
              </w:numPr>
              <w:tabs>
                <w:tab w:val="clear" w:pos="360"/>
                <w:tab w:val="num" w:pos="720"/>
              </w:tabs>
              <w:rPr>
                <w:rFonts w:cs="Arial"/>
              </w:rPr>
            </w:pPr>
            <w:r w:rsidRPr="00580087">
              <w:rPr>
                <w:rFonts w:cs="Arial"/>
              </w:rPr>
              <w:t xml:space="preserve">Exec and </w:t>
            </w:r>
            <w:proofErr w:type="gramStart"/>
            <w:r w:rsidRPr="00580087">
              <w:rPr>
                <w:rFonts w:cs="Arial"/>
              </w:rPr>
              <w:t>Non Execs</w:t>
            </w:r>
            <w:proofErr w:type="gramEnd"/>
            <w:r w:rsidRPr="00580087">
              <w:rPr>
                <w:rFonts w:cs="Arial"/>
              </w:rPr>
              <w:t xml:space="preserve"> are sponsors of the Trusts Staff Networks. </w:t>
            </w:r>
            <w:r>
              <w:rPr>
                <w:rFonts w:cs="Arial"/>
              </w:rPr>
              <w:t xml:space="preserve">There are at least two for each staff network. </w:t>
            </w:r>
          </w:p>
          <w:p w14:paraId="16BAC29F" w14:textId="38141A0A" w:rsidR="00D77F13" w:rsidRDefault="00D77F13" w:rsidP="00D77F13">
            <w:pPr>
              <w:numPr>
                <w:ilvl w:val="0"/>
                <w:numId w:val="1"/>
              </w:numPr>
              <w:tabs>
                <w:tab w:val="clear" w:pos="360"/>
                <w:tab w:val="num" w:pos="720"/>
              </w:tabs>
              <w:rPr>
                <w:rFonts w:cs="Arial"/>
              </w:rPr>
            </w:pPr>
            <w:r>
              <w:rPr>
                <w:rFonts w:cs="Arial"/>
              </w:rPr>
              <w:t>Staff Networks are members of Strategic Staff EDI Partnership</w:t>
            </w:r>
            <w:r w:rsidR="0091754C">
              <w:rPr>
                <w:rFonts w:cs="Arial"/>
              </w:rPr>
              <w:t xml:space="preserve"> and report via a AAA+D report at every meeting of the People and Culture Committee. </w:t>
            </w:r>
          </w:p>
          <w:p w14:paraId="15C905BC" w14:textId="77777777" w:rsidR="00D77F13" w:rsidRDefault="00D77F13" w:rsidP="00D77F13">
            <w:pPr>
              <w:numPr>
                <w:ilvl w:val="0"/>
                <w:numId w:val="1"/>
              </w:numPr>
              <w:tabs>
                <w:tab w:val="clear" w:pos="360"/>
                <w:tab w:val="num" w:pos="720"/>
              </w:tabs>
              <w:rPr>
                <w:rFonts w:cs="Arial"/>
              </w:rPr>
            </w:pPr>
            <w:r>
              <w:rPr>
                <w:rFonts w:cs="Arial"/>
              </w:rPr>
              <w:t xml:space="preserve">Executives and senior leaders are leading the implementation of the Patient and Carer Race Equality Framework. </w:t>
            </w:r>
          </w:p>
          <w:p w14:paraId="5BEDCB12" w14:textId="36EE4E5B" w:rsidR="00D77F13" w:rsidRDefault="00D77F13" w:rsidP="00D77F13">
            <w:pPr>
              <w:numPr>
                <w:ilvl w:val="0"/>
                <w:numId w:val="1"/>
              </w:numPr>
              <w:tabs>
                <w:tab w:val="clear" w:pos="360"/>
                <w:tab w:val="num" w:pos="720"/>
              </w:tabs>
              <w:rPr>
                <w:rFonts w:cs="Arial"/>
              </w:rPr>
            </w:pPr>
            <w:r>
              <w:rPr>
                <w:rFonts w:cs="Arial"/>
              </w:rPr>
              <w:t xml:space="preserve">All Board papers include a section on equality. </w:t>
            </w:r>
            <w:r w:rsidR="0091754C">
              <w:rPr>
                <w:rFonts w:cs="Arial"/>
              </w:rPr>
              <w:t>There are plans to enhance this and develop training for committees and the Board around governance and health equity.</w:t>
            </w:r>
          </w:p>
          <w:p w14:paraId="4C946035" w14:textId="699A3D91" w:rsidR="00D77F13" w:rsidRDefault="00D77F13" w:rsidP="00D77F13">
            <w:pPr>
              <w:numPr>
                <w:ilvl w:val="0"/>
                <w:numId w:val="1"/>
              </w:numPr>
              <w:tabs>
                <w:tab w:val="clear" w:pos="360"/>
                <w:tab w:val="num" w:pos="720"/>
              </w:tabs>
              <w:rPr>
                <w:rFonts w:cs="Arial"/>
              </w:rPr>
            </w:pPr>
            <w:r>
              <w:rPr>
                <w:rFonts w:cs="Arial"/>
              </w:rPr>
              <w:t xml:space="preserve">The Equality and Quality Impact Assessment is used for business case appraisal. </w:t>
            </w:r>
            <w:r w:rsidR="0091754C">
              <w:rPr>
                <w:rFonts w:cs="Arial"/>
              </w:rPr>
              <w:t>This has been reviewed to align with the Trusts Equality Impact Assessment Policy and the screening process enhanced.</w:t>
            </w:r>
          </w:p>
          <w:p w14:paraId="733BB5F4" w14:textId="55606796" w:rsidR="00D77F13" w:rsidRDefault="00D77F13" w:rsidP="00D77F13">
            <w:pPr>
              <w:numPr>
                <w:ilvl w:val="0"/>
                <w:numId w:val="1"/>
              </w:numPr>
              <w:tabs>
                <w:tab w:val="clear" w:pos="360"/>
                <w:tab w:val="num" w:pos="720"/>
              </w:tabs>
              <w:rPr>
                <w:rFonts w:cs="Arial"/>
              </w:rPr>
            </w:pPr>
            <w:r>
              <w:rPr>
                <w:rFonts w:cs="Arial"/>
              </w:rPr>
              <w:t>Health inequalities are discussed regularly within the Quality and Safety Committee structures</w:t>
            </w:r>
            <w:r w:rsidR="00265C5D">
              <w:rPr>
                <w:rFonts w:cs="Arial"/>
              </w:rPr>
              <w:t xml:space="preserve"> a Health Equity Approach is being drafted. </w:t>
            </w:r>
            <w:r w:rsidR="0091754C">
              <w:rPr>
                <w:rFonts w:cs="Arial"/>
              </w:rPr>
              <w:t xml:space="preserve">The EDI Team will be observing all committees to </w:t>
            </w:r>
            <w:r w:rsidR="0091754C">
              <w:rPr>
                <w:rFonts w:cs="Arial"/>
              </w:rPr>
              <w:lastRenderedPageBreak/>
              <w:t>review Health Equity discussions, performance and impact over the next six months.</w:t>
            </w:r>
          </w:p>
          <w:p w14:paraId="473F0238" w14:textId="64137B56" w:rsidR="0091754C" w:rsidRDefault="0091754C" w:rsidP="00D77F13">
            <w:pPr>
              <w:numPr>
                <w:ilvl w:val="0"/>
                <w:numId w:val="1"/>
              </w:numPr>
              <w:tabs>
                <w:tab w:val="clear" w:pos="360"/>
                <w:tab w:val="num" w:pos="720"/>
              </w:tabs>
              <w:rPr>
                <w:rFonts w:cs="Arial"/>
              </w:rPr>
            </w:pPr>
            <w:r>
              <w:rPr>
                <w:rFonts w:cs="Arial"/>
              </w:rPr>
              <w:t>A well led review was conducted during 2025 with positive feedback around the Trusts focus on EDI. An action plan has been drafted to develop he approach further.</w:t>
            </w:r>
          </w:p>
          <w:p w14:paraId="54C056A3" w14:textId="57C43E6B" w:rsidR="00D77F13" w:rsidRDefault="00D77F13" w:rsidP="00D77F13">
            <w:pPr>
              <w:numPr>
                <w:ilvl w:val="0"/>
                <w:numId w:val="1"/>
              </w:numPr>
              <w:tabs>
                <w:tab w:val="clear" w:pos="360"/>
                <w:tab w:val="num" w:pos="720"/>
              </w:tabs>
              <w:rPr>
                <w:rFonts w:cs="Arial"/>
              </w:rPr>
            </w:pPr>
            <w:r>
              <w:rPr>
                <w:rFonts w:cs="Arial"/>
              </w:rPr>
              <w:t>Board members and senior leaders engage regularly in EDI related events, campaigns and celebrations</w:t>
            </w:r>
            <w:r w:rsidR="00265C5D">
              <w:rPr>
                <w:rFonts w:cs="Arial"/>
              </w:rPr>
              <w:t>.</w:t>
            </w:r>
            <w:r w:rsidR="0091754C">
              <w:rPr>
                <w:rFonts w:cs="Arial"/>
              </w:rPr>
              <w:t xml:space="preserve"> </w:t>
            </w:r>
          </w:p>
          <w:p w14:paraId="18C664CE" w14:textId="431199F5" w:rsidR="00D77F13" w:rsidRDefault="00D77F13" w:rsidP="00D77F13">
            <w:pPr>
              <w:numPr>
                <w:ilvl w:val="0"/>
                <w:numId w:val="1"/>
              </w:numPr>
              <w:tabs>
                <w:tab w:val="clear" w:pos="360"/>
                <w:tab w:val="num" w:pos="720"/>
              </w:tabs>
              <w:rPr>
                <w:rFonts w:cs="Arial"/>
              </w:rPr>
            </w:pPr>
            <w:r>
              <w:rPr>
                <w:rFonts w:cs="Arial"/>
              </w:rPr>
              <w:t xml:space="preserve">Belonging and Inclusion commitments are embedded throughout the Trusts Strategy – Ambition to Action. </w:t>
            </w:r>
            <w:r w:rsidR="0091754C">
              <w:rPr>
                <w:rFonts w:cs="Arial"/>
              </w:rPr>
              <w:t>Plans to review the organisational strategy will involve further development around Health Equity.</w:t>
            </w:r>
          </w:p>
          <w:p w14:paraId="44F54384" w14:textId="77777777" w:rsidR="00265C5D" w:rsidRDefault="00265C5D" w:rsidP="00D77F13">
            <w:pPr>
              <w:numPr>
                <w:ilvl w:val="0"/>
                <w:numId w:val="1"/>
              </w:numPr>
              <w:tabs>
                <w:tab w:val="clear" w:pos="360"/>
                <w:tab w:val="num" w:pos="720"/>
              </w:tabs>
              <w:rPr>
                <w:rFonts w:cs="Arial"/>
              </w:rPr>
            </w:pPr>
            <w:r>
              <w:rPr>
                <w:rFonts w:cs="Arial"/>
              </w:rPr>
              <w:t xml:space="preserve">Senior leaders are leading on EDI and Health Equity priorities at place and across the system. </w:t>
            </w:r>
          </w:p>
          <w:p w14:paraId="2F28EAF6" w14:textId="7BE21370" w:rsidR="006331A6" w:rsidRDefault="00434D22" w:rsidP="006331A6">
            <w:pPr>
              <w:numPr>
                <w:ilvl w:val="0"/>
                <w:numId w:val="1"/>
              </w:numPr>
              <w:tabs>
                <w:tab w:val="clear" w:pos="360"/>
                <w:tab w:val="num" w:pos="720"/>
              </w:tabs>
              <w:rPr>
                <w:rFonts w:cs="Arial"/>
              </w:rPr>
            </w:pPr>
            <w:r>
              <w:rPr>
                <w:rFonts w:cs="Arial"/>
              </w:rPr>
              <w:t xml:space="preserve">A Health Equity </w:t>
            </w:r>
            <w:r w:rsidR="0091754C">
              <w:rPr>
                <w:rFonts w:cs="Arial"/>
              </w:rPr>
              <w:t xml:space="preserve">and Health Equity Tool Kit </w:t>
            </w:r>
            <w:r>
              <w:rPr>
                <w:rFonts w:cs="Arial"/>
              </w:rPr>
              <w:t xml:space="preserve">Sharepoint page has been established holding policy information, priorities, good practice case studies and learning resources. </w:t>
            </w:r>
          </w:p>
          <w:p w14:paraId="273FE534" w14:textId="77777777" w:rsidR="006331A6" w:rsidRDefault="006331A6" w:rsidP="006331A6">
            <w:pPr>
              <w:numPr>
                <w:ilvl w:val="0"/>
                <w:numId w:val="1"/>
              </w:numPr>
              <w:tabs>
                <w:tab w:val="clear" w:pos="360"/>
                <w:tab w:val="num" w:pos="720"/>
              </w:tabs>
              <w:rPr>
                <w:rFonts w:cs="Arial"/>
              </w:rPr>
            </w:pPr>
            <w:r>
              <w:rPr>
                <w:rFonts w:cs="Arial"/>
              </w:rPr>
              <w:t xml:space="preserve">The Trust Board and EDI Influencers have undertaken the </w:t>
            </w:r>
            <w:r w:rsidR="003B7EA5" w:rsidRPr="003B7EA5">
              <w:rPr>
                <w:rFonts w:asciiTheme="minorHAnsi" w:hAnsiTheme="minorHAnsi"/>
                <w:color w:val="auto"/>
                <w:kern w:val="2"/>
                <w:sz w:val="22"/>
                <w:szCs w:val="22"/>
                <w14:ligatures w14:val="standardContextual"/>
              </w:rPr>
              <w:t xml:space="preserve"> </w:t>
            </w:r>
            <w:hyperlink r:id="rId5" w:history="1">
              <w:r w:rsidR="003B7EA5" w:rsidRPr="003B7EA5">
                <w:rPr>
                  <w:rStyle w:val="Hyperlink"/>
                  <w:rFonts w:cs="Arial"/>
                </w:rPr>
                <w:t>Reducing health inequalities: A guide for NHS trust board members</w:t>
              </w:r>
            </w:hyperlink>
            <w:r w:rsidR="003B7EA5">
              <w:rPr>
                <w:rFonts w:cs="Arial"/>
              </w:rPr>
              <w:t xml:space="preserve"> assessment. </w:t>
            </w:r>
          </w:p>
          <w:p w14:paraId="71C894F0" w14:textId="5F5750DB" w:rsidR="001B21B8" w:rsidRPr="0091754C" w:rsidRDefault="003B7EA5" w:rsidP="0091754C">
            <w:pPr>
              <w:numPr>
                <w:ilvl w:val="0"/>
                <w:numId w:val="1"/>
              </w:numPr>
              <w:tabs>
                <w:tab w:val="clear" w:pos="360"/>
                <w:tab w:val="num" w:pos="720"/>
              </w:tabs>
              <w:rPr>
                <w:rFonts w:cs="Arial"/>
              </w:rPr>
            </w:pPr>
            <w:r>
              <w:rPr>
                <w:rFonts w:cs="Arial"/>
              </w:rPr>
              <w:t xml:space="preserve">The Strategic EDI Staff Partnership approved the Trust taking part in the </w:t>
            </w:r>
            <w:proofErr w:type="spellStart"/>
            <w:r>
              <w:rPr>
                <w:rFonts w:cs="Arial"/>
              </w:rPr>
              <w:t>Autistica</w:t>
            </w:r>
            <w:proofErr w:type="spellEnd"/>
            <w:r>
              <w:rPr>
                <w:rFonts w:cs="Arial"/>
              </w:rPr>
              <w:t xml:space="preserve"> Neurodiversity Employment Index to guide further work to be a neurodiversity friendly employer</w:t>
            </w:r>
            <w:r w:rsidR="0091754C">
              <w:rPr>
                <w:rFonts w:cs="Arial"/>
              </w:rPr>
              <w:t xml:space="preserve"> and the Trust was awarded </w:t>
            </w:r>
            <w:proofErr w:type="gramStart"/>
            <w:r w:rsidR="0091754C">
              <w:rPr>
                <w:rFonts w:cs="Arial"/>
              </w:rPr>
              <w:t>Bronze</w:t>
            </w:r>
            <w:proofErr w:type="gramEnd"/>
            <w:r w:rsidR="0091754C">
              <w:rPr>
                <w:rFonts w:cs="Arial"/>
              </w:rPr>
              <w:t xml:space="preserve"> standard.</w:t>
            </w:r>
          </w:p>
        </w:tc>
        <w:tc>
          <w:tcPr>
            <w:tcW w:w="1104" w:type="dxa"/>
          </w:tcPr>
          <w:p w14:paraId="3706A057" w14:textId="3C8DCB04" w:rsidR="00D77F13" w:rsidRPr="009D1CC6" w:rsidRDefault="00CE7109" w:rsidP="004B3F02">
            <w:pPr>
              <w:rPr>
                <w:rFonts w:cs="Arial"/>
              </w:rPr>
            </w:pPr>
            <w:r>
              <w:rPr>
                <w:rFonts w:cs="Arial"/>
              </w:rPr>
              <w:lastRenderedPageBreak/>
              <w:t>3</w:t>
            </w:r>
            <w:r w:rsidR="00D77F13">
              <w:rPr>
                <w:rFonts w:cs="Arial"/>
              </w:rPr>
              <w:t xml:space="preserve"> </w:t>
            </w:r>
          </w:p>
        </w:tc>
        <w:tc>
          <w:tcPr>
            <w:tcW w:w="1792" w:type="dxa"/>
          </w:tcPr>
          <w:p w14:paraId="14420BD7" w14:textId="77777777" w:rsidR="00D77F13" w:rsidRPr="00A71FCC" w:rsidRDefault="00D77F13" w:rsidP="00D77F13">
            <w:pPr>
              <w:pStyle w:val="ListParagraph"/>
              <w:numPr>
                <w:ilvl w:val="0"/>
                <w:numId w:val="4"/>
              </w:numPr>
              <w:rPr>
                <w:rFonts w:cs="Arial"/>
              </w:rPr>
            </w:pPr>
            <w:r w:rsidRPr="00A71FCC">
              <w:rPr>
                <w:rFonts w:cs="Arial"/>
              </w:rPr>
              <w:t>Senior Leadership Team</w:t>
            </w:r>
          </w:p>
          <w:p w14:paraId="44CCEF9A" w14:textId="77777777" w:rsidR="00D77F13" w:rsidRPr="00A71FCC" w:rsidRDefault="00D77F13" w:rsidP="00D77F13">
            <w:pPr>
              <w:pStyle w:val="ListParagraph"/>
              <w:numPr>
                <w:ilvl w:val="0"/>
                <w:numId w:val="4"/>
              </w:numPr>
              <w:rPr>
                <w:rFonts w:cs="Arial"/>
              </w:rPr>
            </w:pPr>
            <w:r w:rsidRPr="00A71FCC">
              <w:rPr>
                <w:rFonts w:cs="Arial"/>
              </w:rPr>
              <w:t>Trust Board</w:t>
            </w:r>
          </w:p>
          <w:p w14:paraId="0510BF24" w14:textId="77777777" w:rsidR="00D77F13" w:rsidRPr="00A71FCC" w:rsidRDefault="00D77F13" w:rsidP="00D77F13">
            <w:pPr>
              <w:pStyle w:val="ListParagraph"/>
              <w:numPr>
                <w:ilvl w:val="0"/>
                <w:numId w:val="4"/>
              </w:numPr>
              <w:rPr>
                <w:rFonts w:cs="Arial"/>
              </w:rPr>
            </w:pPr>
            <w:r w:rsidRPr="00A71FCC">
              <w:rPr>
                <w:rFonts w:cs="Arial"/>
              </w:rPr>
              <w:t xml:space="preserve">People Matters Directorate </w:t>
            </w:r>
          </w:p>
          <w:p w14:paraId="6E817389" w14:textId="77777777" w:rsidR="00D77F13" w:rsidRDefault="00D77F13" w:rsidP="00D77F13">
            <w:pPr>
              <w:pStyle w:val="ListParagraph"/>
              <w:numPr>
                <w:ilvl w:val="0"/>
                <w:numId w:val="4"/>
              </w:numPr>
              <w:rPr>
                <w:rFonts w:cs="Arial"/>
              </w:rPr>
            </w:pPr>
            <w:r w:rsidRPr="00A71FCC">
              <w:rPr>
                <w:rFonts w:cs="Arial"/>
              </w:rPr>
              <w:t>Corporate Governance</w:t>
            </w:r>
          </w:p>
          <w:p w14:paraId="773A3618" w14:textId="77777777" w:rsidR="00D77F13" w:rsidRPr="00A71FCC" w:rsidRDefault="00D77F13" w:rsidP="00D77F13">
            <w:pPr>
              <w:pStyle w:val="ListParagraph"/>
              <w:numPr>
                <w:ilvl w:val="0"/>
                <w:numId w:val="4"/>
              </w:numPr>
              <w:rPr>
                <w:rFonts w:cs="Arial"/>
              </w:rPr>
            </w:pPr>
            <w:r>
              <w:rPr>
                <w:rFonts w:cs="Arial"/>
              </w:rPr>
              <w:t>Staff Networks</w:t>
            </w:r>
          </w:p>
        </w:tc>
      </w:tr>
      <w:tr w:rsidR="00D77F13" w:rsidRPr="009D1CC6" w14:paraId="1FA2DA8F" w14:textId="77777777" w:rsidTr="006331A6">
        <w:trPr>
          <w:cantSplit/>
          <w:trHeight w:val="1393"/>
        </w:trPr>
        <w:tc>
          <w:tcPr>
            <w:tcW w:w="1094" w:type="dxa"/>
            <w:vMerge/>
            <w:shd w:val="clear" w:color="auto" w:fill="D9E2F3" w:themeFill="accent1" w:themeFillTint="33"/>
          </w:tcPr>
          <w:p w14:paraId="4462EFA0" w14:textId="77777777" w:rsidR="00D77F13" w:rsidRPr="009D1CC6" w:rsidRDefault="00D77F13" w:rsidP="004B3F02">
            <w:pPr>
              <w:rPr>
                <w:rFonts w:cs="Arial"/>
              </w:rPr>
            </w:pPr>
          </w:p>
        </w:tc>
        <w:tc>
          <w:tcPr>
            <w:tcW w:w="2568" w:type="dxa"/>
            <w:shd w:val="clear" w:color="auto" w:fill="D9E2F3" w:themeFill="accent1" w:themeFillTint="33"/>
          </w:tcPr>
          <w:p w14:paraId="228F94E9" w14:textId="77777777" w:rsidR="00D77F13" w:rsidRPr="009D1CC6" w:rsidRDefault="00D77F13" w:rsidP="004B3F02">
            <w:pPr>
              <w:rPr>
                <w:rFonts w:cs="Arial"/>
              </w:rPr>
            </w:pPr>
            <w:r w:rsidRPr="009D1CC6">
              <w:rPr>
                <w:rFonts w:cs="Arial"/>
              </w:rPr>
              <w:t xml:space="preserve">3B: Board/Committee papers (including minutes) identify equality and health inequalities related impacts and risks and </w:t>
            </w:r>
            <w:r w:rsidRPr="009D1CC6">
              <w:rPr>
                <w:rFonts w:cs="Arial"/>
              </w:rPr>
              <w:lastRenderedPageBreak/>
              <w:t>how they will be mitigated and managed</w:t>
            </w:r>
          </w:p>
        </w:tc>
        <w:tc>
          <w:tcPr>
            <w:tcW w:w="7390" w:type="dxa"/>
          </w:tcPr>
          <w:p w14:paraId="75E2E448" w14:textId="0B034EE9" w:rsidR="00434D22" w:rsidRDefault="00434D22" w:rsidP="00D77F13">
            <w:pPr>
              <w:pStyle w:val="ListParagraph"/>
              <w:numPr>
                <w:ilvl w:val="0"/>
                <w:numId w:val="2"/>
              </w:numPr>
              <w:rPr>
                <w:rFonts w:cs="Arial"/>
              </w:rPr>
            </w:pPr>
            <w:r>
              <w:rPr>
                <w:rFonts w:cs="Arial"/>
              </w:rPr>
              <w:lastRenderedPageBreak/>
              <w:t xml:space="preserve">A Health Equity Approach has been drafted setting out the Trusts intentions aspirations around tackling health inequalities. </w:t>
            </w:r>
          </w:p>
          <w:p w14:paraId="79506291" w14:textId="2F60A6A0" w:rsidR="00D77F13" w:rsidRDefault="00D77F13" w:rsidP="00D77F13">
            <w:pPr>
              <w:pStyle w:val="ListParagraph"/>
              <w:numPr>
                <w:ilvl w:val="0"/>
                <w:numId w:val="2"/>
              </w:numPr>
              <w:rPr>
                <w:rFonts w:cs="Arial"/>
              </w:rPr>
            </w:pPr>
            <w:r>
              <w:rPr>
                <w:rFonts w:cs="Arial"/>
              </w:rPr>
              <w:t xml:space="preserve">All board papers require authors to document the equality relevance and there is a section for risk management and mitigation. </w:t>
            </w:r>
          </w:p>
          <w:p w14:paraId="55270E5E" w14:textId="1AFFBD26" w:rsidR="00434D22" w:rsidRDefault="00434D22" w:rsidP="00D77F13">
            <w:pPr>
              <w:pStyle w:val="ListParagraph"/>
              <w:numPr>
                <w:ilvl w:val="0"/>
                <w:numId w:val="2"/>
              </w:numPr>
              <w:rPr>
                <w:rFonts w:cs="Arial"/>
              </w:rPr>
            </w:pPr>
            <w:r>
              <w:rPr>
                <w:rFonts w:cs="Arial"/>
              </w:rPr>
              <w:lastRenderedPageBreak/>
              <w:t xml:space="preserve">Paper and policy templates are being reviewed to strengthen focus and capture on health equity priorities. </w:t>
            </w:r>
          </w:p>
          <w:p w14:paraId="1BE25029" w14:textId="77777777" w:rsidR="00D77F13" w:rsidRDefault="00D77F13" w:rsidP="00D77F13">
            <w:pPr>
              <w:pStyle w:val="ListParagraph"/>
              <w:numPr>
                <w:ilvl w:val="0"/>
                <w:numId w:val="2"/>
              </w:numPr>
              <w:rPr>
                <w:rFonts w:cs="Arial"/>
              </w:rPr>
            </w:pPr>
            <w:r>
              <w:rPr>
                <w:rFonts w:cs="Arial"/>
              </w:rPr>
              <w:t xml:space="preserve">Actions relating to equality and health inequalities are captured within action logs and updated on in matters arising at the following meeting. </w:t>
            </w:r>
          </w:p>
          <w:p w14:paraId="1B180EE9" w14:textId="24793C8D" w:rsidR="001B21B8" w:rsidRPr="001B21B8" w:rsidRDefault="00434D22" w:rsidP="001B21B8">
            <w:pPr>
              <w:pStyle w:val="ListParagraph"/>
              <w:numPr>
                <w:ilvl w:val="0"/>
                <w:numId w:val="2"/>
              </w:numPr>
              <w:rPr>
                <w:rFonts w:cs="Arial"/>
              </w:rPr>
            </w:pPr>
            <w:r>
              <w:rPr>
                <w:rFonts w:cs="Arial"/>
              </w:rPr>
              <w:t xml:space="preserve">AAA+D reports are used to share information between committees, </w:t>
            </w:r>
            <w:r w:rsidR="001B21B8">
              <w:rPr>
                <w:rFonts w:cs="Arial"/>
              </w:rPr>
              <w:t>subgroups</w:t>
            </w:r>
            <w:r>
              <w:rPr>
                <w:rFonts w:cs="Arial"/>
              </w:rPr>
              <w:t xml:space="preserve"> and with the Board. </w:t>
            </w:r>
          </w:p>
          <w:p w14:paraId="5429F58F" w14:textId="77777777" w:rsidR="00D77F13" w:rsidRDefault="00D77F13" w:rsidP="00D77F13">
            <w:pPr>
              <w:pStyle w:val="ListParagraph"/>
              <w:numPr>
                <w:ilvl w:val="0"/>
                <w:numId w:val="2"/>
              </w:numPr>
              <w:rPr>
                <w:rFonts w:cs="Arial"/>
              </w:rPr>
            </w:pPr>
            <w:r>
              <w:rPr>
                <w:rFonts w:cs="Arial"/>
              </w:rPr>
              <w:t xml:space="preserve">Equality and Quality Impact Assessments are completed for some projects and signed off at a senior level. </w:t>
            </w:r>
          </w:p>
          <w:p w14:paraId="315AA358" w14:textId="27085EF4" w:rsidR="00434D22" w:rsidRDefault="0091754C" w:rsidP="00D77F13">
            <w:pPr>
              <w:pStyle w:val="ListParagraph"/>
              <w:numPr>
                <w:ilvl w:val="0"/>
                <w:numId w:val="2"/>
              </w:numPr>
              <w:rPr>
                <w:rFonts w:cs="Arial"/>
              </w:rPr>
            </w:pPr>
            <w:r>
              <w:rPr>
                <w:rFonts w:cs="Arial"/>
              </w:rPr>
              <w:t xml:space="preserve">An </w:t>
            </w:r>
            <w:r w:rsidR="00434D22">
              <w:rPr>
                <w:rFonts w:cs="Arial"/>
              </w:rPr>
              <w:t xml:space="preserve">Equality impact assessment policy is in place and training has been rolled out for services to learn and be supported to implement the policy in their service areas. </w:t>
            </w:r>
            <w:proofErr w:type="gramStart"/>
            <w:r w:rsidR="00434D22">
              <w:rPr>
                <w:rFonts w:cs="Arial"/>
              </w:rPr>
              <w:t>EIA’s</w:t>
            </w:r>
            <w:proofErr w:type="gramEnd"/>
            <w:r w:rsidR="00434D22">
              <w:rPr>
                <w:rFonts w:cs="Arial"/>
              </w:rPr>
              <w:t xml:space="preserve"> are being completed and evidence saved as good practice. </w:t>
            </w:r>
          </w:p>
          <w:p w14:paraId="478DA0FA" w14:textId="268FDA72" w:rsidR="00D77F13" w:rsidRDefault="00D77F13" w:rsidP="00D77F13">
            <w:pPr>
              <w:pStyle w:val="ListParagraph"/>
              <w:numPr>
                <w:ilvl w:val="0"/>
                <w:numId w:val="2"/>
              </w:numPr>
              <w:rPr>
                <w:rFonts w:cs="Arial"/>
              </w:rPr>
            </w:pPr>
            <w:r>
              <w:rPr>
                <w:rFonts w:cs="Arial"/>
              </w:rPr>
              <w:t xml:space="preserve">All staff workplace assessments are in place to discuss health and wellbeing, risks and the role. </w:t>
            </w:r>
            <w:r w:rsidR="00434D22">
              <w:rPr>
                <w:rFonts w:cs="Arial"/>
              </w:rPr>
              <w:t xml:space="preserve">These were formally </w:t>
            </w:r>
            <w:r w:rsidR="0091754C">
              <w:rPr>
                <w:rFonts w:cs="Arial"/>
              </w:rPr>
              <w:t>‘</w:t>
            </w:r>
            <w:r w:rsidR="00434D22">
              <w:rPr>
                <w:rFonts w:cs="Arial"/>
              </w:rPr>
              <w:t>BME Staff Risk Assessment</w:t>
            </w:r>
            <w:r w:rsidR="0091754C">
              <w:rPr>
                <w:rFonts w:cs="Arial"/>
              </w:rPr>
              <w:t>’</w:t>
            </w:r>
            <w:r w:rsidR="00434D22">
              <w:rPr>
                <w:rFonts w:cs="Arial"/>
              </w:rPr>
              <w:t xml:space="preserve"> established during the pandemic. Wellbeing checks are embedded into the supervision and huddle structures. </w:t>
            </w:r>
          </w:p>
          <w:p w14:paraId="1525225D" w14:textId="77777777" w:rsidR="006331A6" w:rsidRDefault="006331A6" w:rsidP="00D77F13">
            <w:pPr>
              <w:pStyle w:val="ListParagraph"/>
              <w:numPr>
                <w:ilvl w:val="0"/>
                <w:numId w:val="2"/>
              </w:numPr>
              <w:rPr>
                <w:rFonts w:cs="Arial"/>
              </w:rPr>
            </w:pPr>
            <w:r>
              <w:rPr>
                <w:rFonts w:cs="Arial"/>
              </w:rPr>
              <w:t xml:space="preserve">Systems have been established to monitor sexual safety incidents separately from all other incidents, these are being monitored monthly to identified themes and trends. A programme of work was undertaken with the signature of the Sexual Safety Charter to mitigate and minimise risks. </w:t>
            </w:r>
          </w:p>
          <w:p w14:paraId="68BE3F6C" w14:textId="3DED87DB" w:rsidR="006331A6" w:rsidRPr="002E6DCF" w:rsidRDefault="006331A6" w:rsidP="00D77F13">
            <w:pPr>
              <w:pStyle w:val="ListParagraph"/>
              <w:numPr>
                <w:ilvl w:val="0"/>
                <w:numId w:val="2"/>
              </w:numPr>
              <w:rPr>
                <w:rFonts w:cs="Arial"/>
              </w:rPr>
            </w:pPr>
            <w:r>
              <w:rPr>
                <w:rFonts w:cs="Arial"/>
              </w:rPr>
              <w:t xml:space="preserve">An organisational approach to racial and other types of discrimination from patient and the public to staff is in place with a policy, training, campaign and support plan. </w:t>
            </w:r>
          </w:p>
        </w:tc>
        <w:tc>
          <w:tcPr>
            <w:tcW w:w="1104" w:type="dxa"/>
          </w:tcPr>
          <w:p w14:paraId="6593EF38" w14:textId="2A300567" w:rsidR="00D77F13" w:rsidRPr="009D1CC6" w:rsidRDefault="00434D22" w:rsidP="004B3F02">
            <w:pPr>
              <w:jc w:val="center"/>
              <w:rPr>
                <w:rFonts w:cs="Arial"/>
              </w:rPr>
            </w:pPr>
            <w:r>
              <w:rPr>
                <w:rFonts w:cs="Arial"/>
              </w:rPr>
              <w:lastRenderedPageBreak/>
              <w:t>2</w:t>
            </w:r>
          </w:p>
        </w:tc>
        <w:tc>
          <w:tcPr>
            <w:tcW w:w="1792" w:type="dxa"/>
          </w:tcPr>
          <w:p w14:paraId="774D2124" w14:textId="77777777" w:rsidR="00D77F13" w:rsidRPr="00A71FCC" w:rsidRDefault="00D77F13" w:rsidP="00D77F13">
            <w:pPr>
              <w:pStyle w:val="ListParagraph"/>
              <w:numPr>
                <w:ilvl w:val="0"/>
                <w:numId w:val="5"/>
              </w:numPr>
              <w:rPr>
                <w:rFonts w:cs="Arial"/>
              </w:rPr>
            </w:pPr>
            <w:r w:rsidRPr="00A71FCC">
              <w:rPr>
                <w:rFonts w:cs="Arial"/>
              </w:rPr>
              <w:t>Trust Board</w:t>
            </w:r>
          </w:p>
          <w:p w14:paraId="64FD4E33" w14:textId="77777777" w:rsidR="00D77F13" w:rsidRPr="00A71FCC" w:rsidRDefault="00D77F13" w:rsidP="00D77F13">
            <w:pPr>
              <w:pStyle w:val="ListParagraph"/>
              <w:numPr>
                <w:ilvl w:val="0"/>
                <w:numId w:val="5"/>
              </w:numPr>
              <w:rPr>
                <w:rFonts w:cs="Arial"/>
              </w:rPr>
            </w:pPr>
            <w:r w:rsidRPr="00A71FCC">
              <w:rPr>
                <w:rFonts w:cs="Arial"/>
              </w:rPr>
              <w:t>Senior Leadership Team</w:t>
            </w:r>
          </w:p>
          <w:p w14:paraId="64ADD88F" w14:textId="77777777" w:rsidR="00D77F13" w:rsidRPr="00A71FCC" w:rsidRDefault="00D77F13" w:rsidP="00D77F13">
            <w:pPr>
              <w:pStyle w:val="ListParagraph"/>
              <w:numPr>
                <w:ilvl w:val="0"/>
                <w:numId w:val="5"/>
              </w:numPr>
              <w:rPr>
                <w:rFonts w:cs="Arial"/>
              </w:rPr>
            </w:pPr>
            <w:r w:rsidRPr="00A71FCC">
              <w:rPr>
                <w:rFonts w:cs="Arial"/>
              </w:rPr>
              <w:lastRenderedPageBreak/>
              <w:t>People Matters Directorate</w:t>
            </w:r>
          </w:p>
          <w:p w14:paraId="7C59E493" w14:textId="77777777" w:rsidR="00D77F13" w:rsidRPr="00A71FCC" w:rsidRDefault="00D77F13" w:rsidP="00D77F13">
            <w:pPr>
              <w:pStyle w:val="ListParagraph"/>
              <w:numPr>
                <w:ilvl w:val="0"/>
                <w:numId w:val="5"/>
              </w:numPr>
              <w:rPr>
                <w:rFonts w:cs="Arial"/>
              </w:rPr>
            </w:pPr>
            <w:r w:rsidRPr="00A71FCC">
              <w:rPr>
                <w:rFonts w:cs="Arial"/>
              </w:rPr>
              <w:t>Corporate Governance</w:t>
            </w:r>
          </w:p>
        </w:tc>
      </w:tr>
      <w:tr w:rsidR="00D77F13" w:rsidRPr="009D1CC6" w14:paraId="2B7BAF15" w14:textId="77777777" w:rsidTr="006331A6">
        <w:trPr>
          <w:cantSplit/>
          <w:trHeight w:val="1474"/>
        </w:trPr>
        <w:tc>
          <w:tcPr>
            <w:tcW w:w="1094" w:type="dxa"/>
            <w:vMerge/>
            <w:shd w:val="clear" w:color="auto" w:fill="D9E2F3" w:themeFill="accent1" w:themeFillTint="33"/>
          </w:tcPr>
          <w:p w14:paraId="45A75CDE" w14:textId="77777777" w:rsidR="00D77F13" w:rsidRPr="009D1CC6" w:rsidRDefault="00D77F13" w:rsidP="004B3F02">
            <w:pPr>
              <w:rPr>
                <w:rFonts w:cs="Arial"/>
              </w:rPr>
            </w:pPr>
          </w:p>
        </w:tc>
        <w:tc>
          <w:tcPr>
            <w:tcW w:w="2568" w:type="dxa"/>
            <w:shd w:val="clear" w:color="auto" w:fill="D9E2F3" w:themeFill="accent1" w:themeFillTint="33"/>
          </w:tcPr>
          <w:p w14:paraId="40A27DFA" w14:textId="77777777" w:rsidR="00D77F13" w:rsidRPr="009D1CC6" w:rsidRDefault="00D77F13" w:rsidP="004B3F02">
            <w:pPr>
              <w:rPr>
                <w:rFonts w:cs="Arial"/>
              </w:rPr>
            </w:pPr>
            <w:r w:rsidRPr="009D1CC6">
              <w:rPr>
                <w:rFonts w:cs="Arial"/>
              </w:rPr>
              <w:t>3C: Board members and system leaders (Band 9 and VSM) ensure levers are in place to manage performance and monitor progress with staff and patients</w:t>
            </w:r>
          </w:p>
        </w:tc>
        <w:tc>
          <w:tcPr>
            <w:tcW w:w="7390" w:type="dxa"/>
          </w:tcPr>
          <w:p w14:paraId="62963CCB" w14:textId="469A8AFF" w:rsidR="00434D22" w:rsidRDefault="00434D22" w:rsidP="00D77F13">
            <w:pPr>
              <w:pStyle w:val="ListParagraph"/>
              <w:numPr>
                <w:ilvl w:val="0"/>
                <w:numId w:val="3"/>
              </w:numPr>
              <w:rPr>
                <w:rFonts w:cs="Arial"/>
              </w:rPr>
            </w:pPr>
            <w:r>
              <w:rPr>
                <w:rFonts w:cs="Arial"/>
              </w:rPr>
              <w:t xml:space="preserve">Systems are in place for regular analysis of data and the outcome descriptors for level 1. </w:t>
            </w:r>
          </w:p>
          <w:p w14:paraId="34C7A4AE" w14:textId="2659EAED" w:rsidR="00D77F13" w:rsidRDefault="00D77F13" w:rsidP="00D77F13">
            <w:pPr>
              <w:pStyle w:val="ListParagraph"/>
              <w:numPr>
                <w:ilvl w:val="0"/>
                <w:numId w:val="3"/>
              </w:numPr>
              <w:rPr>
                <w:rFonts w:cs="Arial"/>
              </w:rPr>
            </w:pPr>
            <w:r w:rsidRPr="00785DC1">
              <w:rPr>
                <w:rFonts w:cs="Arial"/>
              </w:rPr>
              <w:t xml:space="preserve">The Trust uses the WRES, WDES, Gender Pay Gap, Ethnicity Pay Gap and Disability Pay Gap tools annually to identify performance and agreed priorities for improvement. </w:t>
            </w:r>
          </w:p>
          <w:p w14:paraId="6A057E46" w14:textId="77777777" w:rsidR="00D77F13" w:rsidRDefault="00D77F13" w:rsidP="00D77F13">
            <w:pPr>
              <w:pStyle w:val="ListParagraph"/>
              <w:numPr>
                <w:ilvl w:val="0"/>
                <w:numId w:val="3"/>
              </w:numPr>
              <w:rPr>
                <w:rFonts w:cs="Arial"/>
              </w:rPr>
            </w:pPr>
            <w:r>
              <w:rPr>
                <w:rFonts w:cs="Arial"/>
              </w:rPr>
              <w:t xml:space="preserve">The Accessible Information Standard and Sexual Orientation Monitoring Standard are embedded into the Belonging and Inclusion Plan activity and progress is monitored at the Trust Board via the relevant committee. </w:t>
            </w:r>
          </w:p>
          <w:p w14:paraId="6FCA462D" w14:textId="0A468F66" w:rsidR="00D77F13" w:rsidRDefault="00434D22" w:rsidP="00D77F13">
            <w:pPr>
              <w:pStyle w:val="ListParagraph"/>
              <w:numPr>
                <w:ilvl w:val="0"/>
                <w:numId w:val="3"/>
              </w:numPr>
              <w:rPr>
                <w:rFonts w:cs="Arial"/>
              </w:rPr>
            </w:pPr>
            <w:r>
              <w:rPr>
                <w:rFonts w:cs="Arial"/>
              </w:rPr>
              <w:t>Demographic e</w:t>
            </w:r>
            <w:r w:rsidR="00D77F13">
              <w:rPr>
                <w:rFonts w:cs="Arial"/>
              </w:rPr>
              <w:t xml:space="preserve">mployment data is reported </w:t>
            </w:r>
            <w:r w:rsidR="001B21B8">
              <w:rPr>
                <w:rFonts w:cs="Arial"/>
              </w:rPr>
              <w:t xml:space="preserve">and analysed </w:t>
            </w:r>
            <w:r w:rsidR="00D77F13">
              <w:rPr>
                <w:rFonts w:cs="Arial"/>
              </w:rPr>
              <w:t xml:space="preserve">every 6 months </w:t>
            </w:r>
            <w:r>
              <w:rPr>
                <w:rFonts w:cs="Arial"/>
              </w:rPr>
              <w:t xml:space="preserve">across 7 protected groups </w:t>
            </w:r>
            <w:r w:rsidR="00D77F13">
              <w:rPr>
                <w:rFonts w:cs="Arial"/>
              </w:rPr>
              <w:t xml:space="preserve">and used to inform practice and priorities. </w:t>
            </w:r>
          </w:p>
          <w:p w14:paraId="3DF32B20" w14:textId="77777777" w:rsidR="00D77F13" w:rsidRDefault="00D77F13" w:rsidP="00D77F13">
            <w:pPr>
              <w:pStyle w:val="ListParagraph"/>
              <w:numPr>
                <w:ilvl w:val="0"/>
                <w:numId w:val="3"/>
              </w:numPr>
              <w:rPr>
                <w:rFonts w:cs="Arial"/>
              </w:rPr>
            </w:pPr>
            <w:r>
              <w:rPr>
                <w:rFonts w:cs="Arial"/>
              </w:rPr>
              <w:t xml:space="preserve">Key performance indicators have been identified and are reported monthly with quarterly reports being received around Belonging and Inclusion at the People and Culture Committee. </w:t>
            </w:r>
          </w:p>
          <w:p w14:paraId="30C89266" w14:textId="73820B3A" w:rsidR="00434D22" w:rsidRDefault="00434D22" w:rsidP="00D77F13">
            <w:pPr>
              <w:pStyle w:val="ListParagraph"/>
              <w:numPr>
                <w:ilvl w:val="0"/>
                <w:numId w:val="3"/>
              </w:numPr>
              <w:rPr>
                <w:rFonts w:cs="Arial"/>
              </w:rPr>
            </w:pPr>
            <w:r>
              <w:rPr>
                <w:rFonts w:cs="Arial"/>
              </w:rPr>
              <w:t xml:space="preserve">A Belonging and Inclusion Dashboard is reported on alongside subject matters focus and staff stories at the People and Culture Committee. </w:t>
            </w:r>
          </w:p>
          <w:p w14:paraId="34CA515A" w14:textId="77777777" w:rsidR="00D77F13" w:rsidRDefault="00D77F13" w:rsidP="00D77F13">
            <w:pPr>
              <w:pStyle w:val="ListParagraph"/>
              <w:numPr>
                <w:ilvl w:val="0"/>
                <w:numId w:val="3"/>
              </w:numPr>
              <w:rPr>
                <w:rFonts w:cs="Arial"/>
              </w:rPr>
            </w:pPr>
            <w:r>
              <w:rPr>
                <w:rFonts w:cs="Arial"/>
              </w:rPr>
              <w:t xml:space="preserve">The Patient and Carer Race Equality Framework is being implemented with a direct reporting route for governance and accountability to the Quality and Safety Committee. </w:t>
            </w:r>
          </w:p>
          <w:p w14:paraId="509FC4A8" w14:textId="6B464F93" w:rsidR="00D77F13" w:rsidRDefault="00D77F13" w:rsidP="00D77F13">
            <w:pPr>
              <w:pStyle w:val="ListParagraph"/>
              <w:numPr>
                <w:ilvl w:val="0"/>
                <w:numId w:val="3"/>
              </w:numPr>
              <w:rPr>
                <w:rFonts w:cs="Arial"/>
              </w:rPr>
            </w:pPr>
            <w:r>
              <w:rPr>
                <w:rFonts w:cs="Arial"/>
              </w:rPr>
              <w:t>The EDS22 is being utilised to assess performance in 202</w:t>
            </w:r>
            <w:r w:rsidR="0091754C">
              <w:rPr>
                <w:rFonts w:cs="Arial"/>
              </w:rPr>
              <w:t>5</w:t>
            </w:r>
            <w:r>
              <w:rPr>
                <w:rFonts w:cs="Arial"/>
              </w:rPr>
              <w:t>. The EDS2 has been used prior to</w:t>
            </w:r>
            <w:r w:rsidR="0091754C">
              <w:rPr>
                <w:rFonts w:cs="Arial"/>
              </w:rPr>
              <w:t xml:space="preserve"> do</w:t>
            </w:r>
            <w:r>
              <w:rPr>
                <w:rFonts w:cs="Arial"/>
              </w:rPr>
              <w:t xml:space="preserve"> this over the last 10 years. </w:t>
            </w:r>
          </w:p>
          <w:p w14:paraId="76707D48" w14:textId="285E3AF9" w:rsidR="00D77F13" w:rsidRDefault="00D77F13" w:rsidP="00D77F13">
            <w:pPr>
              <w:pStyle w:val="ListParagraph"/>
              <w:numPr>
                <w:ilvl w:val="0"/>
                <w:numId w:val="3"/>
              </w:numPr>
              <w:rPr>
                <w:rFonts w:cs="Arial"/>
              </w:rPr>
            </w:pPr>
            <w:r>
              <w:rPr>
                <w:rFonts w:cs="Arial"/>
              </w:rPr>
              <w:t>The organisation is reflective of the whole workforce in relation to ethnicity in bands 8a an</w:t>
            </w:r>
            <w:r w:rsidR="002E43A6">
              <w:rPr>
                <w:rFonts w:cs="Arial"/>
              </w:rPr>
              <w:t>d 8C and above</w:t>
            </w:r>
            <w:r>
              <w:rPr>
                <w:rFonts w:cs="Arial"/>
              </w:rPr>
              <w:t xml:space="preserve">. </w:t>
            </w:r>
          </w:p>
          <w:p w14:paraId="740199A2" w14:textId="13163931" w:rsidR="00B4456A" w:rsidRDefault="001B21B8" w:rsidP="00D77F13">
            <w:pPr>
              <w:pStyle w:val="ListParagraph"/>
              <w:numPr>
                <w:ilvl w:val="0"/>
                <w:numId w:val="3"/>
              </w:numPr>
              <w:rPr>
                <w:rFonts w:cs="Arial"/>
              </w:rPr>
            </w:pPr>
            <w:r>
              <w:rPr>
                <w:rFonts w:cs="Arial"/>
              </w:rPr>
              <w:t xml:space="preserve">A reciprocal mentoring programme has been in operation for </w:t>
            </w:r>
            <w:r w:rsidR="002E43A6">
              <w:rPr>
                <w:rFonts w:cs="Arial"/>
              </w:rPr>
              <w:t>four</w:t>
            </w:r>
            <w:r>
              <w:rPr>
                <w:rFonts w:cs="Arial"/>
              </w:rPr>
              <w:t xml:space="preserve"> cohorts. The programme is aimed at ECD staff in and pairs staff in 8a and above with staff in bands 5 – 7 for mutual learning and development. The programme continue</w:t>
            </w:r>
            <w:r w:rsidR="002E43A6">
              <w:rPr>
                <w:rFonts w:cs="Arial"/>
              </w:rPr>
              <w:t>d</w:t>
            </w:r>
            <w:r>
              <w:rPr>
                <w:rFonts w:cs="Arial"/>
              </w:rPr>
              <w:t xml:space="preserve"> in 2025 with a graduate </w:t>
            </w:r>
            <w:r>
              <w:rPr>
                <w:rFonts w:cs="Arial"/>
              </w:rPr>
              <w:lastRenderedPageBreak/>
              <w:t>community being launched and a broadening of the eligibility criteria to engage all protected groups in the workforce.</w:t>
            </w:r>
            <w:r w:rsidR="002E43A6">
              <w:rPr>
                <w:rFonts w:cs="Arial"/>
              </w:rPr>
              <w:t xml:space="preserve"> The next cohort is being targeted to Senior Leaders in Mental Health to support the PCREF.</w:t>
            </w:r>
          </w:p>
          <w:p w14:paraId="5E3C3B90" w14:textId="77777777" w:rsidR="001B21B8" w:rsidRDefault="00B4456A" w:rsidP="00D77F13">
            <w:pPr>
              <w:pStyle w:val="ListParagraph"/>
              <w:numPr>
                <w:ilvl w:val="0"/>
                <w:numId w:val="3"/>
              </w:numPr>
              <w:rPr>
                <w:rFonts w:cs="Arial"/>
              </w:rPr>
            </w:pPr>
            <w:r>
              <w:rPr>
                <w:rFonts w:cs="Arial"/>
              </w:rPr>
              <w:t xml:space="preserve">An inclusive recruitment project is underway to increase the likelihood scores of minoritised groups being appointed after shortlisting. </w:t>
            </w:r>
            <w:r w:rsidR="001B21B8">
              <w:rPr>
                <w:rFonts w:cs="Arial"/>
              </w:rPr>
              <w:t xml:space="preserve"> </w:t>
            </w:r>
            <w:r w:rsidR="002E43A6">
              <w:rPr>
                <w:rFonts w:cs="Arial"/>
              </w:rPr>
              <w:t xml:space="preserve">This has included the development of new reasonable adjustment guidance, an applicant survey, review of the recruitment policy and training and new visual guides for candidates to support them through the interview process. </w:t>
            </w:r>
          </w:p>
          <w:p w14:paraId="1C484E81" w14:textId="2033FE0B" w:rsidR="002E43A6" w:rsidRPr="00785DC1" w:rsidRDefault="002E43A6" w:rsidP="00D77F13">
            <w:pPr>
              <w:pStyle w:val="ListParagraph"/>
              <w:numPr>
                <w:ilvl w:val="0"/>
                <w:numId w:val="3"/>
              </w:numPr>
              <w:rPr>
                <w:rFonts w:cs="Arial"/>
              </w:rPr>
            </w:pPr>
            <w:r>
              <w:rPr>
                <w:rFonts w:cs="Arial"/>
              </w:rPr>
              <w:t xml:space="preserve">The Trust has a Menopause Policy, Accreditation, training and support groups. Staff are actively supported. </w:t>
            </w:r>
          </w:p>
        </w:tc>
        <w:tc>
          <w:tcPr>
            <w:tcW w:w="1104" w:type="dxa"/>
          </w:tcPr>
          <w:p w14:paraId="1CF86CCD" w14:textId="42CBDE1D" w:rsidR="00D77F13" w:rsidRPr="009D1CC6" w:rsidRDefault="002E43A6" w:rsidP="004B3F02">
            <w:pPr>
              <w:rPr>
                <w:rFonts w:cs="Arial"/>
              </w:rPr>
            </w:pPr>
            <w:r>
              <w:rPr>
                <w:rFonts w:cs="Arial"/>
              </w:rPr>
              <w:lastRenderedPageBreak/>
              <w:t>2</w:t>
            </w:r>
          </w:p>
        </w:tc>
        <w:tc>
          <w:tcPr>
            <w:tcW w:w="1792" w:type="dxa"/>
          </w:tcPr>
          <w:p w14:paraId="0172C852" w14:textId="77777777" w:rsidR="00D77F13" w:rsidRPr="009D1CC6" w:rsidRDefault="00D77F13" w:rsidP="004B3F02">
            <w:pPr>
              <w:rPr>
                <w:rFonts w:cs="Arial"/>
              </w:rPr>
            </w:pPr>
          </w:p>
        </w:tc>
      </w:tr>
      <w:tr w:rsidR="00D77F13" w:rsidRPr="009D1CC6" w14:paraId="0DC9DAD6" w14:textId="77777777" w:rsidTr="006331A6">
        <w:tc>
          <w:tcPr>
            <w:tcW w:w="11052" w:type="dxa"/>
            <w:gridSpan w:val="3"/>
            <w:shd w:val="clear" w:color="auto" w:fill="D9E2F3" w:themeFill="accent1" w:themeFillTint="33"/>
          </w:tcPr>
          <w:p w14:paraId="42F8826F" w14:textId="77777777" w:rsidR="00D77F13" w:rsidRPr="009D1CC6" w:rsidRDefault="00D77F13" w:rsidP="004B3F02">
            <w:pPr>
              <w:rPr>
                <w:rFonts w:cs="Arial"/>
                <w:b/>
              </w:rPr>
            </w:pPr>
            <w:r w:rsidRPr="009D1CC6">
              <w:rPr>
                <w:rFonts w:cs="Arial"/>
                <w:b/>
              </w:rPr>
              <w:lastRenderedPageBreak/>
              <w:t>Domain 3: Inclusive leadership overall rating</w:t>
            </w:r>
          </w:p>
        </w:tc>
        <w:tc>
          <w:tcPr>
            <w:tcW w:w="1104" w:type="dxa"/>
          </w:tcPr>
          <w:p w14:paraId="52B0BE71" w14:textId="14FFC993" w:rsidR="00D77F13" w:rsidRPr="009D1CC6" w:rsidRDefault="002E43A6" w:rsidP="004B3F02">
            <w:pPr>
              <w:rPr>
                <w:rFonts w:cs="Arial"/>
              </w:rPr>
            </w:pPr>
            <w:r>
              <w:rPr>
                <w:rFonts w:cs="Arial"/>
              </w:rPr>
              <w:t>7</w:t>
            </w:r>
          </w:p>
        </w:tc>
        <w:tc>
          <w:tcPr>
            <w:tcW w:w="1792" w:type="dxa"/>
            <w:shd w:val="clear" w:color="auto" w:fill="D9E2F3" w:themeFill="accent1" w:themeFillTint="33"/>
          </w:tcPr>
          <w:p w14:paraId="6186DC9A" w14:textId="5CE1945C" w:rsidR="00D77F13" w:rsidRPr="009D1CC6" w:rsidRDefault="00401F30" w:rsidP="004B3F02">
            <w:pPr>
              <w:rPr>
                <w:rFonts w:cs="Arial"/>
              </w:rPr>
            </w:pPr>
            <w:r>
              <w:rPr>
                <w:rFonts w:cs="Arial"/>
              </w:rPr>
              <w:t xml:space="preserve">EDI </w:t>
            </w:r>
          </w:p>
        </w:tc>
      </w:tr>
    </w:tbl>
    <w:p w14:paraId="523173F3" w14:textId="77777777" w:rsidR="00D77F13" w:rsidRDefault="00D77F13" w:rsidP="00D77F13">
      <w:pPr>
        <w:spacing w:after="0" w:line="240" w:lineRule="auto"/>
        <w:rPr>
          <w:b/>
          <w:bCs/>
        </w:rPr>
      </w:pPr>
    </w:p>
    <w:tbl>
      <w:tblPr>
        <w:tblStyle w:val="TableGrid"/>
        <w:tblpPr w:leftFromText="180" w:rightFromText="180" w:vertAnchor="text" w:tblpY="11"/>
        <w:tblW w:w="1359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62" w:type="dxa"/>
          <w:left w:w="62" w:type="dxa"/>
          <w:bottom w:w="62" w:type="dxa"/>
          <w:right w:w="62" w:type="dxa"/>
        </w:tblCellMar>
        <w:tblLook w:val="04A0" w:firstRow="1" w:lastRow="0" w:firstColumn="1" w:lastColumn="0" w:noHBand="0" w:noVBand="1"/>
      </w:tblPr>
      <w:tblGrid>
        <w:gridCol w:w="5665"/>
        <w:gridCol w:w="7933"/>
      </w:tblGrid>
      <w:tr w:rsidR="00433D1E" w:rsidRPr="005739D0" w14:paraId="02A7A652" w14:textId="77777777" w:rsidTr="006F1328">
        <w:tc>
          <w:tcPr>
            <w:tcW w:w="13598" w:type="dxa"/>
            <w:gridSpan w:val="2"/>
            <w:shd w:val="clear" w:color="auto" w:fill="D9E2F3" w:themeFill="accent1" w:themeFillTint="33"/>
            <w:vAlign w:val="center"/>
          </w:tcPr>
          <w:p w14:paraId="440B5AD0" w14:textId="77777777" w:rsidR="00433D1E" w:rsidRPr="002D0893" w:rsidRDefault="00433D1E" w:rsidP="006F1328">
            <w:pPr>
              <w:jc w:val="center"/>
              <w:rPr>
                <w:rFonts w:cs="Arial"/>
                <w:b/>
              </w:rPr>
            </w:pPr>
            <w:r w:rsidRPr="002D0893">
              <w:rPr>
                <w:rFonts w:cs="Arial"/>
                <w:b/>
              </w:rPr>
              <w:t>Third-party involvement in Domain 3 rating and review</w:t>
            </w:r>
          </w:p>
        </w:tc>
      </w:tr>
      <w:tr w:rsidR="00433D1E" w:rsidRPr="005739D0" w14:paraId="7B441972" w14:textId="77777777" w:rsidTr="006F1328">
        <w:tc>
          <w:tcPr>
            <w:tcW w:w="5665" w:type="dxa"/>
            <w:shd w:val="clear" w:color="auto" w:fill="D9E2F3" w:themeFill="accent1" w:themeFillTint="33"/>
          </w:tcPr>
          <w:p w14:paraId="74A45993" w14:textId="77777777" w:rsidR="00433D1E" w:rsidRPr="002D0893" w:rsidRDefault="00433D1E" w:rsidP="006F1328">
            <w:pPr>
              <w:rPr>
                <w:rFonts w:cs="Arial"/>
                <w:b/>
              </w:rPr>
            </w:pPr>
            <w:r w:rsidRPr="002D0893">
              <w:rPr>
                <w:rFonts w:cs="Arial"/>
                <w:b/>
              </w:rPr>
              <w:t>Trade Union Rep(s):</w:t>
            </w:r>
          </w:p>
          <w:p w14:paraId="600D48AD" w14:textId="77777777" w:rsidR="00433D1E" w:rsidRPr="005739D0" w:rsidRDefault="00433D1E" w:rsidP="006F1328"/>
          <w:p w14:paraId="634AA893" w14:textId="21E8DCB8" w:rsidR="0012378E" w:rsidRDefault="003603AC" w:rsidP="006F1328">
            <w:pPr>
              <w:rPr>
                <w:rFonts w:cs="Arial"/>
                <w:sz w:val="28"/>
                <w:szCs w:val="28"/>
              </w:rPr>
            </w:pPr>
            <w:r>
              <w:rPr>
                <w:rFonts w:cs="Arial"/>
                <w:sz w:val="28"/>
                <w:szCs w:val="28"/>
              </w:rPr>
              <w:t>Via the Strategic Staff EDI Partnership</w:t>
            </w:r>
          </w:p>
          <w:p w14:paraId="78A9F162" w14:textId="33E4D3BC" w:rsidR="0012378E" w:rsidRPr="005739D0" w:rsidRDefault="0012378E" w:rsidP="006F1328">
            <w:pPr>
              <w:rPr>
                <w:rFonts w:cs="Arial"/>
                <w:sz w:val="28"/>
                <w:szCs w:val="28"/>
              </w:rPr>
            </w:pPr>
          </w:p>
        </w:tc>
        <w:tc>
          <w:tcPr>
            <w:tcW w:w="7933" w:type="dxa"/>
            <w:shd w:val="clear" w:color="auto" w:fill="D9E2F3" w:themeFill="accent1" w:themeFillTint="33"/>
          </w:tcPr>
          <w:p w14:paraId="2A9E22F5" w14:textId="77777777" w:rsidR="00433D1E" w:rsidRPr="002D0893" w:rsidRDefault="00433D1E" w:rsidP="006F1328">
            <w:pPr>
              <w:rPr>
                <w:rFonts w:cs="Arial"/>
                <w:b/>
              </w:rPr>
            </w:pPr>
            <w:bookmarkStart w:id="0" w:name="_Toc43808933"/>
            <w:r w:rsidRPr="002D0893">
              <w:rPr>
                <w:rFonts w:cs="Arial"/>
                <w:b/>
              </w:rPr>
              <w:t>Independent Evaluator(s)/Peer Reviewer(s</w:t>
            </w:r>
            <w:bookmarkEnd w:id="0"/>
            <w:r w:rsidRPr="002D0893">
              <w:rPr>
                <w:rFonts w:cs="Arial"/>
                <w:b/>
              </w:rPr>
              <w:t>):</w:t>
            </w:r>
          </w:p>
          <w:p w14:paraId="0FAFC947" w14:textId="77777777" w:rsidR="00433D1E" w:rsidRPr="005739D0" w:rsidRDefault="00433D1E" w:rsidP="006F1328"/>
          <w:p w14:paraId="47AB1CD5" w14:textId="5B7D66FC" w:rsidR="00433D1E" w:rsidRDefault="003603AC" w:rsidP="006F1328">
            <w:pPr>
              <w:rPr>
                <w:rFonts w:cs="Arial"/>
                <w:sz w:val="28"/>
                <w:szCs w:val="28"/>
              </w:rPr>
            </w:pPr>
            <w:r>
              <w:rPr>
                <w:rFonts w:cs="Arial"/>
                <w:sz w:val="28"/>
                <w:szCs w:val="28"/>
              </w:rPr>
              <w:t xml:space="preserve">South </w:t>
            </w:r>
            <w:r w:rsidR="00F41854">
              <w:rPr>
                <w:rFonts w:cs="Arial"/>
                <w:sz w:val="28"/>
                <w:szCs w:val="28"/>
              </w:rPr>
              <w:t>W</w:t>
            </w:r>
            <w:r>
              <w:rPr>
                <w:rFonts w:cs="Arial"/>
                <w:sz w:val="28"/>
                <w:szCs w:val="28"/>
              </w:rPr>
              <w:t>est Yorkshire NHS Foundation Trust</w:t>
            </w:r>
          </w:p>
          <w:p w14:paraId="65C96C14" w14:textId="4FFEF7D2" w:rsidR="003603AC" w:rsidRPr="005739D0" w:rsidRDefault="003603AC" w:rsidP="006F1328">
            <w:pPr>
              <w:rPr>
                <w:rFonts w:cs="Arial"/>
                <w:sz w:val="28"/>
                <w:szCs w:val="28"/>
              </w:rPr>
            </w:pPr>
          </w:p>
        </w:tc>
      </w:tr>
    </w:tbl>
    <w:p w14:paraId="2E426437" w14:textId="77777777" w:rsidR="00433D1E" w:rsidRDefault="00433D1E" w:rsidP="00D77F13">
      <w:pPr>
        <w:spacing w:after="0" w:line="240" w:lineRule="auto"/>
        <w:rPr>
          <w:b/>
          <w:bCs/>
        </w:rPr>
      </w:pPr>
    </w:p>
    <w:p w14:paraId="0CEBBE93" w14:textId="7462C3B5" w:rsidR="00076D2F" w:rsidRPr="00076D2F" w:rsidRDefault="00076D2F" w:rsidP="00D77F13">
      <w:pPr>
        <w:spacing w:after="0" w:line="240" w:lineRule="auto"/>
        <w:rPr>
          <w:rFonts w:ascii="Arial" w:hAnsi="Arial" w:cs="Arial"/>
          <w:i/>
          <w:iCs/>
        </w:rPr>
      </w:pPr>
      <w:r w:rsidRPr="00076D2F">
        <w:rPr>
          <w:rFonts w:ascii="Arial" w:hAnsi="Arial" w:cs="Arial"/>
          <w:i/>
          <w:iCs/>
        </w:rPr>
        <w:t xml:space="preserve">Further evidence is available here </w:t>
      </w:r>
      <w:hyperlink r:id="rId6" w:history="1">
        <w:r w:rsidRPr="00076D2F">
          <w:rPr>
            <w:rStyle w:val="Hyperlink"/>
            <w:rFonts w:ascii="Arial" w:hAnsi="Arial" w:cs="Arial"/>
            <w:i/>
            <w:iCs/>
          </w:rPr>
          <w:t>Shar</w:t>
        </w:r>
        <w:r w:rsidRPr="00076D2F">
          <w:rPr>
            <w:rStyle w:val="Hyperlink"/>
            <w:rFonts w:ascii="Arial" w:hAnsi="Arial" w:cs="Arial"/>
            <w:i/>
            <w:iCs/>
          </w:rPr>
          <w:t>e</w:t>
        </w:r>
        <w:r w:rsidRPr="00076D2F">
          <w:rPr>
            <w:rStyle w:val="Hyperlink"/>
            <w:rFonts w:ascii="Arial" w:hAnsi="Arial" w:cs="Arial"/>
            <w:i/>
            <w:iCs/>
          </w:rPr>
          <w:t>Point</w:t>
        </w:r>
      </w:hyperlink>
      <w:r w:rsidRPr="00076D2F">
        <w:rPr>
          <w:rFonts w:ascii="Arial" w:hAnsi="Arial" w:cs="Arial"/>
          <w:i/>
          <w:iCs/>
        </w:rPr>
        <w:t xml:space="preserve"> </w:t>
      </w:r>
      <w:r w:rsidRPr="002E43A6">
        <w:rPr>
          <w:rFonts w:ascii="Arial" w:hAnsi="Arial" w:cs="Arial"/>
          <w:i/>
          <w:iCs/>
          <w:sz w:val="24"/>
          <w:szCs w:val="24"/>
        </w:rPr>
        <w:t xml:space="preserve">and </w:t>
      </w:r>
      <w:hyperlink r:id="rId7" w:history="1">
        <w:r w:rsidR="002E43A6" w:rsidRPr="002E43A6">
          <w:rPr>
            <w:rStyle w:val="Hyperlink"/>
            <w:rFonts w:ascii="Arial" w:hAnsi="Arial" w:cs="Arial"/>
            <w:i/>
            <w:iCs/>
            <w:sz w:val="24"/>
            <w:szCs w:val="24"/>
          </w:rPr>
          <w:t>Equality and diversity reports - Bradford D</w:t>
        </w:r>
        <w:r w:rsidR="002E43A6" w:rsidRPr="002E43A6">
          <w:rPr>
            <w:rStyle w:val="Hyperlink"/>
            <w:rFonts w:ascii="Arial" w:hAnsi="Arial" w:cs="Arial"/>
            <w:i/>
            <w:iCs/>
            <w:sz w:val="24"/>
            <w:szCs w:val="24"/>
          </w:rPr>
          <w:t>i</w:t>
        </w:r>
        <w:r w:rsidR="002E43A6" w:rsidRPr="002E43A6">
          <w:rPr>
            <w:rStyle w:val="Hyperlink"/>
            <w:rFonts w:ascii="Arial" w:hAnsi="Arial" w:cs="Arial"/>
            <w:i/>
            <w:iCs/>
            <w:sz w:val="24"/>
            <w:szCs w:val="24"/>
          </w:rPr>
          <w:t>strict Care NHS Foundation Trust</w:t>
        </w:r>
      </w:hyperlink>
    </w:p>
    <w:sectPr w:rsidR="00076D2F" w:rsidRPr="00076D2F" w:rsidSect="00D77F1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A"/>
    <w:multiLevelType w:val="hybridMultilevel"/>
    <w:tmpl w:val="2AE4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EA7CB2"/>
    <w:multiLevelType w:val="hybridMultilevel"/>
    <w:tmpl w:val="BBBCA208"/>
    <w:lvl w:ilvl="0" w:tplc="991C57AA">
      <w:start w:val="1"/>
      <w:numFmt w:val="bullet"/>
      <w:lvlText w:val="•"/>
      <w:lvlJc w:val="left"/>
      <w:pPr>
        <w:tabs>
          <w:tab w:val="num" w:pos="360"/>
        </w:tabs>
        <w:ind w:left="360" w:hanging="360"/>
      </w:pPr>
      <w:rPr>
        <w:rFonts w:ascii="Arial" w:hAnsi="Arial" w:hint="default"/>
        <w:sz w:val="24"/>
        <w:szCs w:val="24"/>
      </w:rPr>
    </w:lvl>
    <w:lvl w:ilvl="1" w:tplc="09020C24" w:tentative="1">
      <w:start w:val="1"/>
      <w:numFmt w:val="bullet"/>
      <w:lvlText w:val="•"/>
      <w:lvlJc w:val="left"/>
      <w:pPr>
        <w:tabs>
          <w:tab w:val="num" w:pos="1080"/>
        </w:tabs>
        <w:ind w:left="1080" w:hanging="360"/>
      </w:pPr>
      <w:rPr>
        <w:rFonts w:ascii="Arial" w:hAnsi="Arial" w:hint="default"/>
      </w:rPr>
    </w:lvl>
    <w:lvl w:ilvl="2" w:tplc="0748BCEE" w:tentative="1">
      <w:start w:val="1"/>
      <w:numFmt w:val="bullet"/>
      <w:lvlText w:val="•"/>
      <w:lvlJc w:val="left"/>
      <w:pPr>
        <w:tabs>
          <w:tab w:val="num" w:pos="1800"/>
        </w:tabs>
        <w:ind w:left="1800" w:hanging="360"/>
      </w:pPr>
      <w:rPr>
        <w:rFonts w:ascii="Arial" w:hAnsi="Arial" w:hint="default"/>
      </w:rPr>
    </w:lvl>
    <w:lvl w:ilvl="3" w:tplc="93AC969C" w:tentative="1">
      <w:start w:val="1"/>
      <w:numFmt w:val="bullet"/>
      <w:lvlText w:val="•"/>
      <w:lvlJc w:val="left"/>
      <w:pPr>
        <w:tabs>
          <w:tab w:val="num" w:pos="2520"/>
        </w:tabs>
        <w:ind w:left="2520" w:hanging="360"/>
      </w:pPr>
      <w:rPr>
        <w:rFonts w:ascii="Arial" w:hAnsi="Arial" w:hint="default"/>
      </w:rPr>
    </w:lvl>
    <w:lvl w:ilvl="4" w:tplc="46EE9BF8" w:tentative="1">
      <w:start w:val="1"/>
      <w:numFmt w:val="bullet"/>
      <w:lvlText w:val="•"/>
      <w:lvlJc w:val="left"/>
      <w:pPr>
        <w:tabs>
          <w:tab w:val="num" w:pos="3240"/>
        </w:tabs>
        <w:ind w:left="3240" w:hanging="360"/>
      </w:pPr>
      <w:rPr>
        <w:rFonts w:ascii="Arial" w:hAnsi="Arial" w:hint="default"/>
      </w:rPr>
    </w:lvl>
    <w:lvl w:ilvl="5" w:tplc="2A72AE66" w:tentative="1">
      <w:start w:val="1"/>
      <w:numFmt w:val="bullet"/>
      <w:lvlText w:val="•"/>
      <w:lvlJc w:val="left"/>
      <w:pPr>
        <w:tabs>
          <w:tab w:val="num" w:pos="3960"/>
        </w:tabs>
        <w:ind w:left="3960" w:hanging="360"/>
      </w:pPr>
      <w:rPr>
        <w:rFonts w:ascii="Arial" w:hAnsi="Arial" w:hint="default"/>
      </w:rPr>
    </w:lvl>
    <w:lvl w:ilvl="6" w:tplc="FDB83970" w:tentative="1">
      <w:start w:val="1"/>
      <w:numFmt w:val="bullet"/>
      <w:lvlText w:val="•"/>
      <w:lvlJc w:val="left"/>
      <w:pPr>
        <w:tabs>
          <w:tab w:val="num" w:pos="4680"/>
        </w:tabs>
        <w:ind w:left="4680" w:hanging="360"/>
      </w:pPr>
      <w:rPr>
        <w:rFonts w:ascii="Arial" w:hAnsi="Arial" w:hint="default"/>
      </w:rPr>
    </w:lvl>
    <w:lvl w:ilvl="7" w:tplc="E54A090E" w:tentative="1">
      <w:start w:val="1"/>
      <w:numFmt w:val="bullet"/>
      <w:lvlText w:val="•"/>
      <w:lvlJc w:val="left"/>
      <w:pPr>
        <w:tabs>
          <w:tab w:val="num" w:pos="5400"/>
        </w:tabs>
        <w:ind w:left="5400" w:hanging="360"/>
      </w:pPr>
      <w:rPr>
        <w:rFonts w:ascii="Arial" w:hAnsi="Arial" w:hint="default"/>
      </w:rPr>
    </w:lvl>
    <w:lvl w:ilvl="8" w:tplc="AD5AD6E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6AF6C3F"/>
    <w:multiLevelType w:val="hybridMultilevel"/>
    <w:tmpl w:val="0734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6E3C57"/>
    <w:multiLevelType w:val="hybridMultilevel"/>
    <w:tmpl w:val="30164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077A54"/>
    <w:multiLevelType w:val="hybridMultilevel"/>
    <w:tmpl w:val="6AFCA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822058">
    <w:abstractNumId w:val="1"/>
  </w:num>
  <w:num w:numId="2" w16cid:durableId="1424178506">
    <w:abstractNumId w:val="0"/>
  </w:num>
  <w:num w:numId="3" w16cid:durableId="675307254">
    <w:abstractNumId w:val="2"/>
  </w:num>
  <w:num w:numId="4" w16cid:durableId="386226891">
    <w:abstractNumId w:val="3"/>
  </w:num>
  <w:num w:numId="5" w16cid:durableId="446042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13"/>
    <w:rsid w:val="00076D2F"/>
    <w:rsid w:val="0012378E"/>
    <w:rsid w:val="001A2693"/>
    <w:rsid w:val="001B21B8"/>
    <w:rsid w:val="00265C5D"/>
    <w:rsid w:val="002E43A6"/>
    <w:rsid w:val="003603AC"/>
    <w:rsid w:val="003B7EA5"/>
    <w:rsid w:val="00401F30"/>
    <w:rsid w:val="00433D1E"/>
    <w:rsid w:val="00434D22"/>
    <w:rsid w:val="004A3186"/>
    <w:rsid w:val="006331A6"/>
    <w:rsid w:val="0091754C"/>
    <w:rsid w:val="00B4456A"/>
    <w:rsid w:val="00C9318B"/>
    <w:rsid w:val="00CB24A9"/>
    <w:rsid w:val="00CE7109"/>
    <w:rsid w:val="00D309C2"/>
    <w:rsid w:val="00D77F13"/>
    <w:rsid w:val="00DB7B8B"/>
    <w:rsid w:val="00DE1884"/>
    <w:rsid w:val="00F41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53E467BC"/>
  <w15:chartTrackingRefBased/>
  <w15:docId w15:val="{0441FDAC-14A0-43C9-B5B2-6770629B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F13"/>
    <w:pPr>
      <w:spacing w:after="0" w:line="240" w:lineRule="auto"/>
      <w:ind w:left="720"/>
      <w:contextualSpacing/>
    </w:pPr>
    <w:rPr>
      <w:rFonts w:ascii="Arial" w:hAnsi="Arial"/>
      <w:color w:val="231F20"/>
      <w:kern w:val="0"/>
      <w:sz w:val="24"/>
      <w:szCs w:val="24"/>
      <w14:ligatures w14:val="none"/>
    </w:rPr>
  </w:style>
  <w:style w:type="table" w:styleId="TableGrid">
    <w:name w:val="Table Grid"/>
    <w:basedOn w:val="TableNormal"/>
    <w:uiPriority w:val="39"/>
    <w:rsid w:val="00D77F13"/>
    <w:pPr>
      <w:spacing w:after="0" w:line="240" w:lineRule="auto"/>
    </w:pPr>
    <w:rPr>
      <w:rFonts w:ascii="Arial" w:hAnsi="Arial"/>
      <w:color w:val="231F20"/>
      <w:kern w:val="0"/>
      <w:sz w:val="24"/>
      <w:szCs w:val="24"/>
      <w14:ligatures w14:val="none"/>
    </w:rPr>
    <w:tblPr>
      <w:tblCellMar>
        <w:left w:w="0" w:type="dxa"/>
        <w:right w:w="0" w:type="dxa"/>
      </w:tblCellMar>
    </w:tblPr>
  </w:style>
  <w:style w:type="character" w:styleId="Hyperlink">
    <w:name w:val="Hyperlink"/>
    <w:basedOn w:val="DefaultParagraphFont"/>
    <w:uiPriority w:val="99"/>
    <w:unhideWhenUsed/>
    <w:rsid w:val="00D77F13"/>
    <w:rPr>
      <w:color w:val="0563C1" w:themeColor="hyperlink"/>
      <w:u w:val="single"/>
    </w:rPr>
  </w:style>
  <w:style w:type="character" w:styleId="UnresolvedMention">
    <w:name w:val="Unresolved Mention"/>
    <w:basedOn w:val="DefaultParagraphFont"/>
    <w:uiPriority w:val="99"/>
    <w:semiHidden/>
    <w:unhideWhenUsed/>
    <w:rsid w:val="003B7EA5"/>
    <w:rPr>
      <w:color w:val="605E5C"/>
      <w:shd w:val="clear" w:color="auto" w:fill="E1DFDD"/>
    </w:rPr>
  </w:style>
  <w:style w:type="character" w:styleId="FollowedHyperlink">
    <w:name w:val="FollowedHyperlink"/>
    <w:basedOn w:val="DefaultParagraphFont"/>
    <w:uiPriority w:val="99"/>
    <w:semiHidden/>
    <w:unhideWhenUsed/>
    <w:rsid w:val="002E43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dct.nhs.uk/about-us/key-information-publication-scheme/publication-scheme-and-key-information/equality-and-diver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dct.sharepoint.com/sites/HR/Documents/Forms/AllItems.aspx?FolderCTID=0x012000A5A169A93E3B6247A13E161F3901B051&amp;id=%2Fsites%2FHR%2FDocuments%2FEDI" TargetMode="External"/><Relationship Id="rId5" Type="http://schemas.openxmlformats.org/officeDocument/2006/relationships/hyperlink" Target="https://eur02.safelinks.protection.outlook.com/?url=https%3A%2F%2Fnhsproviders.org%2Freducing-health-inequalities-a-guide-for-nhs-trust-board-members%2Fhow-to-use-the-guide&amp;data=05%7C02%7CLisa.Wright%40bdct.nhs.uk%7C4ff7cf5d47c4449bd50f08dc9b402754%7Cf377edd1c32a465086639fc3ec794b84%7C0%7C0%7C638555947107408965%7CUnknown%7CTWFpbGZsb3d8eyJWIjoiMC4wLjAwMDAiLCJQIjoiV2luMzIiLCJBTiI6Ik1haWwiLCJXVCI6Mn0%3D%7C0%7C%7C%7C&amp;sdata=Pw3pY45F9mNPlb1FCdQoywmI0%2FRK2dZoQVoY44xhSPA%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2</cp:revision>
  <dcterms:created xsi:type="dcterms:W3CDTF">2026-01-08T18:32:00Z</dcterms:created>
  <dcterms:modified xsi:type="dcterms:W3CDTF">2026-01-08T18:32:00Z</dcterms:modified>
</cp:coreProperties>
</file>