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EEAF6" w:themeColor="accent5" w:themeTint="33"/>
  <w:body>
    <w:tbl>
      <w:tblPr>
        <w:tblStyle w:val="NHSTableDarkBlu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7"/>
        <w:gridCol w:w="2186"/>
      </w:tblGrid>
      <w:tr w:rsidR="00717B61" w:rsidRPr="00717B61" w14:paraId="05293C58" w14:textId="77777777" w:rsidTr="4B7E6360">
        <w:trPr>
          <w:cnfStyle w:val="100000000000" w:firstRow="1" w:lastRow="0" w:firstColumn="0" w:lastColumn="0" w:oddVBand="0" w:evenVBand="0" w:oddHBand="0" w:evenHBand="0" w:firstRowFirstColumn="0" w:firstRowLastColumn="0" w:lastRowFirstColumn="0" w:lastRowLastColumn="0"/>
        </w:trPr>
        <w:tc>
          <w:tcPr>
            <w:tcW w:w="13943" w:type="dxa"/>
            <w:gridSpan w:val="2"/>
            <w:tcBorders>
              <w:top w:val="single" w:sz="4" w:space="0" w:color="auto"/>
              <w:left w:val="single" w:sz="4" w:space="0" w:color="auto"/>
              <w:bottom w:val="single" w:sz="4" w:space="0" w:color="auto"/>
              <w:right w:val="single" w:sz="4" w:space="0" w:color="auto"/>
            </w:tcBorders>
          </w:tcPr>
          <w:p w14:paraId="5FE23C1E" w14:textId="20FD9CCF" w:rsidR="00717B61" w:rsidRPr="00717B61" w:rsidRDefault="00717B61" w:rsidP="004A1882">
            <w:pPr>
              <w:rPr>
                <w:rFonts w:cs="Arial"/>
                <w:color w:val="auto"/>
              </w:rPr>
            </w:pPr>
            <w:r w:rsidRPr="00717B61">
              <w:rPr>
                <w:rFonts w:cs="Arial"/>
                <w:color w:val="FFFFFF" w:themeColor="background1"/>
              </w:rPr>
              <w:t>Domain 1: Commissioned or Provided Services</w:t>
            </w:r>
          </w:p>
        </w:tc>
      </w:tr>
      <w:tr w:rsidR="00717B61" w:rsidRPr="00717B61" w14:paraId="308789C5" w14:textId="77777777" w:rsidTr="4B7E6360">
        <w:trPr>
          <w:cnfStyle w:val="000000100000" w:firstRow="0" w:lastRow="0" w:firstColumn="0" w:lastColumn="0" w:oddVBand="0" w:evenVBand="0" w:oddHBand="1" w:evenHBand="0" w:firstRowFirstColumn="0" w:firstRowLastColumn="0" w:lastRowFirstColumn="0" w:lastRowLastColumn="0"/>
        </w:trPr>
        <w:tc>
          <w:tcPr>
            <w:tcW w:w="13943" w:type="dxa"/>
            <w:gridSpan w:val="2"/>
            <w:tcBorders>
              <w:top w:val="single" w:sz="4" w:space="0" w:color="auto"/>
              <w:left w:val="single" w:sz="4" w:space="0" w:color="auto"/>
              <w:bottom w:val="single" w:sz="4" w:space="0" w:color="auto"/>
              <w:right w:val="single" w:sz="4" w:space="0" w:color="auto"/>
            </w:tcBorders>
            <w:shd w:val="clear" w:color="auto" w:fill="auto"/>
          </w:tcPr>
          <w:p w14:paraId="52054DD3" w14:textId="21B2E543" w:rsidR="00717B61" w:rsidRPr="00717B61" w:rsidRDefault="00717B61" w:rsidP="004A1882">
            <w:pPr>
              <w:rPr>
                <w:rFonts w:cs="Arial"/>
                <w:color w:val="auto"/>
              </w:rPr>
            </w:pPr>
            <w:r w:rsidRPr="00717B61">
              <w:rPr>
                <w:b/>
                <w:bCs/>
                <w:color w:val="auto"/>
              </w:rPr>
              <w:t>Service:</w:t>
            </w:r>
            <w:r w:rsidRPr="00717B61">
              <w:rPr>
                <w:color w:val="auto"/>
              </w:rPr>
              <w:t xml:space="preserve"> </w:t>
            </w:r>
            <w:r w:rsidR="004D5018">
              <w:rPr>
                <w:color w:val="auto"/>
              </w:rPr>
              <w:t>City Community Mental Health Service</w:t>
            </w:r>
          </w:p>
        </w:tc>
      </w:tr>
      <w:tr w:rsidR="00717B61" w:rsidRPr="00717B61" w14:paraId="60024634" w14:textId="77777777" w:rsidTr="4B7E6360">
        <w:tc>
          <w:tcPr>
            <w:tcW w:w="13943" w:type="dxa"/>
            <w:gridSpan w:val="2"/>
            <w:tcBorders>
              <w:top w:val="single" w:sz="4" w:space="0" w:color="auto"/>
              <w:left w:val="single" w:sz="4" w:space="0" w:color="auto"/>
              <w:bottom w:val="single" w:sz="4" w:space="0" w:color="auto"/>
              <w:right w:val="single" w:sz="4" w:space="0" w:color="auto"/>
            </w:tcBorders>
          </w:tcPr>
          <w:p w14:paraId="76240C8C" w14:textId="04BE2D82" w:rsidR="00717B61" w:rsidRPr="0065747E" w:rsidRDefault="00717B61" w:rsidP="004A1882">
            <w:pPr>
              <w:rPr>
                <w:color w:val="auto"/>
              </w:rPr>
            </w:pPr>
            <w:r w:rsidRPr="00717B61">
              <w:rPr>
                <w:b/>
                <w:bCs/>
                <w:color w:val="auto"/>
              </w:rPr>
              <w:t xml:space="preserve">Owner / Dept Lead: </w:t>
            </w:r>
          </w:p>
        </w:tc>
      </w:tr>
      <w:tr w:rsidR="00717B61" w:rsidRPr="00717B61" w14:paraId="1DB460B8" w14:textId="1AA12C7C" w:rsidTr="4B7E6360">
        <w:trPr>
          <w:cnfStyle w:val="000000100000" w:firstRow="0" w:lastRow="0" w:firstColumn="0" w:lastColumn="0" w:oddVBand="0" w:evenVBand="0" w:oddHBand="1" w:evenHBand="0" w:firstRowFirstColumn="0" w:firstRowLastColumn="0" w:lastRowFirstColumn="0" w:lastRowLastColumn="0"/>
        </w:trPr>
        <w:tc>
          <w:tcPr>
            <w:tcW w:w="11757" w:type="dxa"/>
            <w:tcBorders>
              <w:top w:val="single" w:sz="4" w:space="0" w:color="auto"/>
              <w:left w:val="single" w:sz="4" w:space="0" w:color="auto"/>
              <w:bottom w:val="single" w:sz="4" w:space="0" w:color="auto"/>
              <w:right w:val="single" w:sz="4" w:space="0" w:color="auto"/>
            </w:tcBorders>
            <w:shd w:val="clear" w:color="auto" w:fill="005EB8"/>
          </w:tcPr>
          <w:p w14:paraId="421AEAF4" w14:textId="5E30484F" w:rsidR="006934AF" w:rsidRPr="005823A6" w:rsidRDefault="006934AF" w:rsidP="004A1882">
            <w:pPr>
              <w:rPr>
                <w:b/>
                <w:bCs/>
                <w:color w:val="FFFFFF" w:themeColor="background1"/>
              </w:rPr>
            </w:pPr>
            <w:r w:rsidRPr="005823A6">
              <w:rPr>
                <w:rFonts w:cs="Arial"/>
                <w:b/>
                <w:bCs/>
                <w:color w:val="FFFFFF" w:themeColor="background1"/>
              </w:rPr>
              <w:t>Outcome 1A: Patients (service users) have required levels of access to the service</w:t>
            </w:r>
          </w:p>
        </w:tc>
        <w:tc>
          <w:tcPr>
            <w:tcW w:w="2186" w:type="dxa"/>
            <w:tcBorders>
              <w:top w:val="single" w:sz="4" w:space="0" w:color="auto"/>
              <w:left w:val="single" w:sz="4" w:space="0" w:color="auto"/>
              <w:bottom w:val="single" w:sz="4" w:space="0" w:color="auto"/>
              <w:right w:val="single" w:sz="4" w:space="0" w:color="auto"/>
            </w:tcBorders>
            <w:shd w:val="clear" w:color="auto" w:fill="005EB8"/>
          </w:tcPr>
          <w:p w14:paraId="343443B3" w14:textId="2378C95A" w:rsidR="006934AF" w:rsidRPr="005823A6" w:rsidRDefault="006934AF" w:rsidP="004A1882">
            <w:pPr>
              <w:rPr>
                <w:rFonts w:cs="Arial"/>
                <w:b/>
                <w:bCs/>
                <w:color w:val="FFFFFF" w:themeColor="background1"/>
              </w:rPr>
            </w:pPr>
            <w:r w:rsidRPr="005823A6">
              <w:rPr>
                <w:rFonts w:cs="Arial"/>
                <w:b/>
                <w:bCs/>
                <w:color w:val="FFFFFF" w:themeColor="background1"/>
              </w:rPr>
              <w:t xml:space="preserve">Score: </w:t>
            </w:r>
            <w:r w:rsidR="00617C6C">
              <w:rPr>
                <w:rFonts w:cs="Arial"/>
                <w:b/>
                <w:bCs/>
                <w:color w:val="FFFFFF" w:themeColor="background1"/>
              </w:rPr>
              <w:t>2</w:t>
            </w:r>
          </w:p>
        </w:tc>
      </w:tr>
      <w:tr w:rsidR="00717B61" w:rsidRPr="00717B61" w14:paraId="7ED37CEF" w14:textId="5415FBC6" w:rsidTr="4B7E6360">
        <w:tc>
          <w:tcPr>
            <w:tcW w:w="13943" w:type="dxa"/>
            <w:gridSpan w:val="2"/>
            <w:tcBorders>
              <w:top w:val="single" w:sz="4" w:space="0" w:color="auto"/>
            </w:tcBorders>
          </w:tcPr>
          <w:p w14:paraId="4A6C19A0" w14:textId="3E5E6C52" w:rsidR="004D0D1D" w:rsidRDefault="006934AF" w:rsidP="0001382D">
            <w:pPr>
              <w:spacing w:after="120"/>
              <w:rPr>
                <w:b/>
                <w:bCs/>
                <w:color w:val="auto"/>
              </w:rPr>
            </w:pPr>
            <w:r w:rsidRPr="00717B61">
              <w:rPr>
                <w:b/>
                <w:bCs/>
                <w:color w:val="auto"/>
              </w:rPr>
              <w:t>Evidence:</w:t>
            </w:r>
          </w:p>
          <w:p w14:paraId="33625909" w14:textId="3D0C2A37" w:rsidR="00817D47" w:rsidRPr="0001382D" w:rsidRDefault="00857CEF" w:rsidP="0001382D">
            <w:pPr>
              <w:spacing w:after="120"/>
              <w:rPr>
                <w:color w:val="auto"/>
              </w:rPr>
            </w:pPr>
            <w:r>
              <w:rPr>
                <w:noProof/>
                <w14:ligatures w14:val="standardContextual"/>
              </w:rPr>
              <w:drawing>
                <wp:anchor distT="0" distB="0" distL="114300" distR="114300" simplePos="0" relativeHeight="251658240" behindDoc="0" locked="0" layoutInCell="1" allowOverlap="1" wp14:anchorId="0F1CF74B" wp14:editId="71FD1583">
                  <wp:simplePos x="0" y="0"/>
                  <wp:positionH relativeFrom="column">
                    <wp:posOffset>5663394</wp:posOffset>
                  </wp:positionH>
                  <wp:positionV relativeFrom="paragraph">
                    <wp:posOffset>1150639</wp:posOffset>
                  </wp:positionV>
                  <wp:extent cx="2954740" cy="1917510"/>
                  <wp:effectExtent l="0" t="0" r="0" b="6985"/>
                  <wp:wrapThrough wrapText="bothSides">
                    <wp:wrapPolygon edited="0">
                      <wp:start x="0" y="0"/>
                      <wp:lineTo x="0" y="21464"/>
                      <wp:lineTo x="21447" y="21464"/>
                      <wp:lineTo x="21447" y="0"/>
                      <wp:lineTo x="0" y="0"/>
                    </wp:wrapPolygon>
                  </wp:wrapThrough>
                  <wp:docPr id="800687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87683" name=""/>
                          <pic:cNvPicPr/>
                        </pic:nvPicPr>
                        <pic:blipFill rotWithShape="1">
                          <a:blip r:embed="rId11" cstate="print">
                            <a:extLst>
                              <a:ext uri="{28A0092B-C50C-407E-A947-70E740481C1C}">
                                <a14:useLocalDpi xmlns:a14="http://schemas.microsoft.com/office/drawing/2010/main" val="0"/>
                              </a:ext>
                            </a:extLst>
                          </a:blip>
                          <a:srcRect l="57050" t="14234" r="9611" b="8847"/>
                          <a:stretch>
                            <a:fillRect/>
                          </a:stretch>
                        </pic:blipFill>
                        <pic:spPr bwMode="auto">
                          <a:xfrm>
                            <a:off x="0" y="0"/>
                            <a:ext cx="2954740" cy="1917510"/>
                          </a:xfrm>
                          <a:prstGeom prst="rect">
                            <a:avLst/>
                          </a:prstGeom>
                          <a:ln>
                            <a:noFill/>
                          </a:ln>
                          <a:extLst>
                            <a:ext uri="{53640926-AAD7-44D8-BBD7-CCE9431645EC}">
                              <a14:shadowObscured xmlns:a14="http://schemas.microsoft.com/office/drawing/2010/main"/>
                            </a:ext>
                          </a:extLst>
                        </pic:spPr>
                      </pic:pic>
                    </a:graphicData>
                  </a:graphic>
                </wp:anchor>
              </w:drawing>
            </w:r>
            <w:r w:rsidR="00817D47" w:rsidRPr="00817D47">
              <w:rPr>
                <w:color w:val="auto"/>
              </w:rPr>
              <w:t>Bradford District Care NHS Foundation Trust’s Community Mental Health Teams (CMHTs) support adults with complex and enduring mental health problems across Bradford, Airedale, Wharfedale and Craven</w:t>
            </w:r>
            <w:r w:rsidR="00817D47">
              <w:rPr>
                <w:color w:val="auto"/>
              </w:rPr>
              <w:t>, for this review we will be looking at City CMHT</w:t>
            </w:r>
            <w:r w:rsidR="00817D47" w:rsidRPr="00817D47">
              <w:rPr>
                <w:color w:val="auto"/>
              </w:rPr>
              <w:t>. The service aims to ensure individuals are assessed, supported and treated appropriately to help them maintain or regain their place in the community and achieve optimal recovery.</w:t>
            </w:r>
            <w:r w:rsidR="00817D47">
              <w:rPr>
                <w:color w:val="auto"/>
              </w:rPr>
              <w:t xml:space="preserve"> City CMHT hold around 400 appointments monthly </w:t>
            </w:r>
            <w:r w:rsidR="00817D47" w:rsidRPr="00817D47">
              <w:rPr>
                <w:color w:val="auto"/>
              </w:rPr>
              <w:t>for people with complex and enduring mental health problems who require specialist support</w:t>
            </w:r>
            <w:r w:rsidR="00817D47">
              <w:rPr>
                <w:color w:val="auto"/>
              </w:rPr>
              <w:t>.</w:t>
            </w:r>
            <w:r w:rsidR="00817D47" w:rsidRPr="00817D47">
              <w:rPr>
                <w:color w:val="auto"/>
              </w:rPr>
              <w:t xml:space="preserve"> The team also works closely with and signposts to partner agencies and other NHS teams.</w:t>
            </w:r>
            <w:r w:rsidR="00A35021">
              <w:rPr>
                <w:color w:val="auto"/>
              </w:rPr>
              <w:t xml:space="preserve"> Bradford City</w:t>
            </w:r>
            <w:r w:rsidR="00206DD2">
              <w:rPr>
                <w:color w:val="auto"/>
              </w:rPr>
              <w:t>,</w:t>
            </w:r>
            <w:r w:rsidR="00A35021">
              <w:rPr>
                <w:color w:val="auto"/>
              </w:rPr>
              <w:t xml:space="preserve"> </w:t>
            </w:r>
            <w:r w:rsidR="00206DD2">
              <w:rPr>
                <w:color w:val="auto"/>
              </w:rPr>
              <w:t>Manningham and Toller wards cover a densely populated area with a</w:t>
            </w:r>
            <w:r w:rsidR="00A35021">
              <w:rPr>
                <w:color w:val="auto"/>
              </w:rPr>
              <w:t xml:space="preserve"> population of </w:t>
            </w:r>
            <w:r w:rsidR="00206DD2">
              <w:rPr>
                <w:color w:val="auto"/>
              </w:rPr>
              <w:t>around 65 000</w:t>
            </w:r>
            <w:r w:rsidR="00A35021">
              <w:rPr>
                <w:color w:val="auto"/>
              </w:rPr>
              <w:t xml:space="preserve"> people</w:t>
            </w:r>
            <w:r w:rsidR="00206DD2">
              <w:rPr>
                <w:color w:val="auto"/>
              </w:rPr>
              <w:t xml:space="preserve">, neighbouring </w:t>
            </w:r>
            <w:r w:rsidR="00A35021">
              <w:rPr>
                <w:color w:val="auto"/>
              </w:rPr>
              <w:t>in the 2021 census</w:t>
            </w:r>
            <w:r w:rsidR="00625399">
              <w:rPr>
                <w:color w:val="auto"/>
              </w:rPr>
              <w:t>, it was the most populated ward</w:t>
            </w:r>
            <w:r w:rsidR="00206DD2">
              <w:rPr>
                <w:color w:val="auto"/>
              </w:rPr>
              <w:t>s</w:t>
            </w:r>
            <w:r w:rsidR="00625399">
              <w:rPr>
                <w:color w:val="auto"/>
              </w:rPr>
              <w:t xml:space="preserve"> in the locality.</w:t>
            </w:r>
            <w:r w:rsidR="00A35021">
              <w:rPr>
                <w:color w:val="auto"/>
              </w:rPr>
              <w:t xml:space="preserve"> </w:t>
            </w:r>
            <w:r w:rsidR="00206DD2">
              <w:rPr>
                <w:color w:val="auto"/>
              </w:rPr>
              <w:t>The team take referrals from these an</w:t>
            </w:r>
            <w:r w:rsidR="0F24BD36">
              <w:rPr>
                <w:color w:val="auto"/>
              </w:rPr>
              <w:t>d</w:t>
            </w:r>
            <w:r w:rsidR="00206DD2">
              <w:rPr>
                <w:color w:val="auto"/>
              </w:rPr>
              <w:t xml:space="preserve"> neighbouring areas</w:t>
            </w:r>
            <w:r w:rsidR="00DD10A9">
              <w:rPr>
                <w:rStyle w:val="FootnoteReference"/>
                <w:color w:val="auto"/>
              </w:rPr>
              <w:footnoteReference w:id="1"/>
            </w:r>
            <w:r w:rsidR="00206DD2">
              <w:rPr>
                <w:color w:val="auto"/>
              </w:rPr>
              <w:t>.</w:t>
            </w:r>
          </w:p>
          <w:p w14:paraId="6EE30691" w14:textId="08BB40BC" w:rsidR="00857CEF" w:rsidRDefault="00857CEF" w:rsidP="0001382D">
            <w:pPr>
              <w:spacing w:after="120"/>
              <w:rPr>
                <w:color w:val="auto"/>
              </w:rPr>
            </w:pPr>
            <w:r>
              <w:rPr>
                <w:color w:val="auto"/>
              </w:rPr>
              <w:t>If we look at the population of the area that City CMHT covers between 77 – 94% of the population is ethnically diverse. Taking City Ward as an example, 46% of the population is Asian or Asian British – Pakistani, 22% are White, 8% are Asian or Asian British – Indian and 8% are Black or Black British, 3% are Asian or Asian British – Bangladeshi, 7% are defined as ‘Other Ethnic Group which includes a growing Eastern European community</w:t>
            </w:r>
            <w:r>
              <w:rPr>
                <w:rStyle w:val="FootnoteReference"/>
                <w:color w:val="auto"/>
              </w:rPr>
              <w:footnoteReference w:id="2"/>
            </w:r>
            <w:r>
              <w:rPr>
                <w:color w:val="auto"/>
              </w:rPr>
              <w:t xml:space="preserve">. </w:t>
            </w:r>
          </w:p>
          <w:p w14:paraId="26A923D2" w14:textId="54ED482D" w:rsidR="00857CEF" w:rsidRDefault="00857CEF" w:rsidP="0001382D">
            <w:pPr>
              <w:spacing w:after="120"/>
              <w:rPr>
                <w:color w:val="auto"/>
              </w:rPr>
            </w:pPr>
            <w:r>
              <w:rPr>
                <w:color w:val="auto"/>
              </w:rPr>
              <w:t xml:space="preserve">In Toller 11% of the population is White and 75% of the population is Asian or Asian British - Pakistani. </w:t>
            </w:r>
          </w:p>
          <w:p w14:paraId="05F3DE6A" w14:textId="11B098EF" w:rsidR="00857CEF" w:rsidRDefault="00857CEF" w:rsidP="0001382D">
            <w:pPr>
              <w:spacing w:after="120"/>
              <w:rPr>
                <w:color w:val="auto"/>
              </w:rPr>
            </w:pPr>
            <w:r>
              <w:rPr>
                <w:color w:val="auto"/>
              </w:rPr>
              <w:lastRenderedPageBreak/>
              <w:t xml:space="preserve">Looking at referrals into the City CMHT by ethnicity </w:t>
            </w:r>
            <w:r w:rsidR="009F1821" w:rsidRPr="009F1821">
              <w:rPr>
                <w:color w:val="auto"/>
              </w:rPr>
              <w:t>3.4% of referrals</w:t>
            </w:r>
            <w:r w:rsidR="00206DD2">
              <w:rPr>
                <w:color w:val="auto"/>
              </w:rPr>
              <w:t xml:space="preserve"> into the team</w:t>
            </w:r>
            <w:r w:rsidR="009F1821" w:rsidRPr="009F1821">
              <w:rPr>
                <w:color w:val="auto"/>
              </w:rPr>
              <w:t xml:space="preserve"> have an unknown ethnic group. Asian or Asian British service users make up 52.3% of referrals, </w:t>
            </w:r>
            <w:r w:rsidR="00206DD2">
              <w:rPr>
                <w:color w:val="auto"/>
              </w:rPr>
              <w:t>w</w:t>
            </w:r>
            <w:r w:rsidR="00206DD2" w:rsidRPr="009F1821">
              <w:rPr>
                <w:color w:val="auto"/>
              </w:rPr>
              <w:t>ithin this group, Pakistani service users are the largest subgroup, accounting for 41% of all referrals.</w:t>
            </w:r>
            <w:r w:rsidR="00206DD2">
              <w:rPr>
                <w:color w:val="auto"/>
              </w:rPr>
              <w:t xml:space="preserve"> </w:t>
            </w:r>
            <w:r>
              <w:rPr>
                <w:color w:val="auto"/>
              </w:rPr>
              <w:t>T</w:t>
            </w:r>
            <w:r w:rsidR="00206DD2">
              <w:rPr>
                <w:color w:val="auto"/>
              </w:rPr>
              <w:t>he overall</w:t>
            </w:r>
            <w:r w:rsidR="009F1821" w:rsidRPr="009F1821">
              <w:rPr>
                <w:color w:val="auto"/>
              </w:rPr>
              <w:t xml:space="preserve"> </w:t>
            </w:r>
            <w:r w:rsidR="00625399">
              <w:rPr>
                <w:color w:val="auto"/>
              </w:rPr>
              <w:t xml:space="preserve">Bradford Metropolitan District </w:t>
            </w:r>
            <w:r w:rsidR="009F1821" w:rsidRPr="009F1821">
              <w:rPr>
                <w:color w:val="auto"/>
              </w:rPr>
              <w:t xml:space="preserve">local population </w:t>
            </w:r>
            <w:r w:rsidR="00206DD2">
              <w:rPr>
                <w:color w:val="auto"/>
              </w:rPr>
              <w:t>the Asian or Asian British population is</w:t>
            </w:r>
            <w:r w:rsidR="009F1821" w:rsidRPr="009F1821">
              <w:rPr>
                <w:color w:val="auto"/>
              </w:rPr>
              <w:t xml:space="preserve"> 23.3</w:t>
            </w:r>
            <w:r w:rsidR="00124106">
              <w:rPr>
                <w:color w:val="auto"/>
              </w:rPr>
              <w:t xml:space="preserve">%. We might expect the referrals of Asian or Asian British people into the service to be higher given the </w:t>
            </w:r>
            <w:proofErr w:type="gramStart"/>
            <w:r w:rsidR="00124106">
              <w:rPr>
                <w:color w:val="auto"/>
              </w:rPr>
              <w:t>population</w:t>
            </w:r>
            <w:proofErr w:type="gramEnd"/>
            <w:r w:rsidR="00124106">
              <w:rPr>
                <w:color w:val="auto"/>
              </w:rPr>
              <w:t xml:space="preserve"> but it is difficult to compare when the service covers a broad area which does not align with ward boundaries exactly. It is an aspiration of the Business Intelligence team to align case load to ward level census data for further analysis.</w:t>
            </w:r>
            <w:r w:rsidR="00740657">
              <w:rPr>
                <w:color w:val="auto"/>
              </w:rPr>
              <w:t xml:space="preserve"> Through the assessment </w:t>
            </w:r>
            <w:r w:rsidR="00233E25">
              <w:rPr>
                <w:color w:val="auto"/>
              </w:rPr>
              <w:t xml:space="preserve">it has been identified that further work would be helpful to look at </w:t>
            </w:r>
            <w:r w:rsidR="001C3908">
              <w:rPr>
                <w:color w:val="auto"/>
              </w:rPr>
              <w:t xml:space="preserve">access to Community Mental Health Psychological Services by equality group to add another dimension to this work. This will be completed as one of the agreed actions. There are pilots planned to look at the access to Family </w:t>
            </w:r>
            <w:r w:rsidR="00160003">
              <w:rPr>
                <w:color w:val="auto"/>
              </w:rPr>
              <w:t>Inter</w:t>
            </w:r>
            <w:r w:rsidR="007E62AE">
              <w:rPr>
                <w:color w:val="auto"/>
              </w:rPr>
              <w:t>ventions in P</w:t>
            </w:r>
            <w:r w:rsidR="00D03006">
              <w:rPr>
                <w:color w:val="auto"/>
              </w:rPr>
              <w:t xml:space="preserve">sychosis and experience and outcomes of culturally adaptive </w:t>
            </w:r>
            <w:r w:rsidR="00882736">
              <w:rPr>
                <w:color w:val="auto"/>
              </w:rPr>
              <w:t>Family Therapy which can be supported by this ongoing work.</w:t>
            </w:r>
          </w:p>
          <w:p w14:paraId="3D7231BE" w14:textId="1132EDD4" w:rsidR="00D52671" w:rsidRDefault="009F1821" w:rsidP="0001382D">
            <w:pPr>
              <w:spacing w:after="120"/>
              <w:rPr>
                <w:color w:val="auto"/>
              </w:rPr>
            </w:pPr>
            <w:r w:rsidRPr="009F1821">
              <w:rPr>
                <w:color w:val="auto"/>
              </w:rPr>
              <w:t>Once referred, Asian and Asian British service users continue to engage with services at similar rates, representing 54.9% of appointments and 53.6% of discharges.</w:t>
            </w:r>
            <w:r>
              <w:rPr>
                <w:color w:val="auto"/>
              </w:rPr>
              <w:t xml:space="preserve"> </w:t>
            </w:r>
            <w:r w:rsidRPr="009F1821">
              <w:rPr>
                <w:color w:val="auto"/>
              </w:rPr>
              <w:t>Black or Black British service users compri</w:t>
            </w:r>
            <w:r w:rsidR="008D0CED">
              <w:rPr>
                <w:color w:val="auto"/>
              </w:rPr>
              <w:t>se</w:t>
            </w:r>
            <w:r w:rsidRPr="009F1821">
              <w:rPr>
                <w:color w:val="auto"/>
              </w:rPr>
              <w:t xml:space="preserve"> 3</w:t>
            </w:r>
            <w:r w:rsidR="008D0CED">
              <w:rPr>
                <w:color w:val="auto"/>
              </w:rPr>
              <w:t>.5</w:t>
            </w:r>
            <w:r w:rsidRPr="009F1821">
              <w:rPr>
                <w:color w:val="auto"/>
              </w:rPr>
              <w:t>% of referrals compared to 1.8% of the</w:t>
            </w:r>
            <w:r w:rsidR="008D0CED">
              <w:rPr>
                <w:color w:val="auto"/>
              </w:rPr>
              <w:t xml:space="preserve"> BMDC </w:t>
            </w:r>
            <w:r w:rsidRPr="009F1821">
              <w:rPr>
                <w:color w:val="auto"/>
              </w:rPr>
              <w:t>local population</w:t>
            </w:r>
            <w:r w:rsidR="008D0CED">
              <w:rPr>
                <w:color w:val="auto"/>
              </w:rPr>
              <w:t xml:space="preserve"> but when we look at the ward representation of for example 3% in City Ward it is representative</w:t>
            </w:r>
            <w:r w:rsidRPr="009F1821">
              <w:rPr>
                <w:color w:val="auto"/>
              </w:rPr>
              <w:t>. This indicates a high level of engagement with mental health services among these ethnic groups.</w:t>
            </w:r>
          </w:p>
          <w:p w14:paraId="02106FBA" w14:textId="0A3E5727" w:rsidR="009F1821" w:rsidRDefault="009F1821" w:rsidP="0001382D">
            <w:pPr>
              <w:spacing w:after="120"/>
              <w:rPr>
                <w:color w:val="auto"/>
              </w:rPr>
            </w:pPr>
            <w:r w:rsidRPr="009F1821">
              <w:rPr>
                <w:color w:val="auto"/>
              </w:rPr>
              <w:t>A significant proportion of referrals</w:t>
            </w:r>
            <w:r>
              <w:rPr>
                <w:color w:val="auto"/>
              </w:rPr>
              <w:t xml:space="preserve"> (</w:t>
            </w:r>
            <w:r w:rsidRPr="009F1821">
              <w:rPr>
                <w:color w:val="auto"/>
              </w:rPr>
              <w:t>90.5%</w:t>
            </w:r>
            <w:r>
              <w:rPr>
                <w:color w:val="auto"/>
              </w:rPr>
              <w:t xml:space="preserve">) </w:t>
            </w:r>
            <w:r w:rsidRPr="009F1821">
              <w:rPr>
                <w:color w:val="auto"/>
              </w:rPr>
              <w:t>come from areas experiencing high levels of deprivation, as measured by Index of Multiple Deprivation (IMD) levels 1 to 3. Appointment attendance and discharge rates for these service users are consistent with referral rates. Further analysis of deprivation domains reveals that most of the City CMHT caseload live in areas with high levels of crime and poor living conditions, alongside lower income and educational attainment compared to the wider population</w:t>
            </w:r>
            <w:r w:rsidR="00427CD7">
              <w:rPr>
                <w:rStyle w:val="FootnoteReference"/>
                <w:color w:val="auto"/>
              </w:rPr>
              <w:footnoteReference w:id="3"/>
            </w:r>
            <w:r w:rsidRPr="009F1821">
              <w:rPr>
                <w:color w:val="auto"/>
              </w:rPr>
              <w:t>.</w:t>
            </w:r>
            <w:r w:rsidR="009B578B">
              <w:rPr>
                <w:color w:val="auto"/>
              </w:rPr>
              <w:t xml:space="preserve"> </w:t>
            </w:r>
          </w:p>
          <w:p w14:paraId="4B9AED3D" w14:textId="445EF734" w:rsidR="009F1821" w:rsidRPr="009F1821" w:rsidRDefault="00427CD7" w:rsidP="0001382D">
            <w:pPr>
              <w:spacing w:after="120"/>
              <w:rPr>
                <w:color w:val="auto"/>
              </w:rPr>
            </w:pPr>
            <w:r>
              <w:rPr>
                <w:noProof/>
                <w14:ligatures w14:val="standardContextual"/>
              </w:rPr>
              <w:lastRenderedPageBreak/>
              <w:drawing>
                <wp:anchor distT="0" distB="0" distL="114300" distR="114300" simplePos="0" relativeHeight="251658241" behindDoc="0" locked="0" layoutInCell="1" allowOverlap="1" wp14:anchorId="7D44835E" wp14:editId="2552C690">
                  <wp:simplePos x="0" y="0"/>
                  <wp:positionH relativeFrom="column">
                    <wp:posOffset>133</wp:posOffset>
                  </wp:positionH>
                  <wp:positionV relativeFrom="paragraph">
                    <wp:posOffset>-3497</wp:posOffset>
                  </wp:positionV>
                  <wp:extent cx="3282286" cy="2341289"/>
                  <wp:effectExtent l="0" t="0" r="0" b="1905"/>
                  <wp:wrapThrough wrapText="bothSides">
                    <wp:wrapPolygon edited="0">
                      <wp:start x="0" y="0"/>
                      <wp:lineTo x="0" y="21442"/>
                      <wp:lineTo x="21441" y="21442"/>
                      <wp:lineTo x="21441" y="0"/>
                      <wp:lineTo x="0" y="0"/>
                    </wp:wrapPolygon>
                  </wp:wrapThrough>
                  <wp:docPr id="1025096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96690" name=""/>
                          <pic:cNvPicPr/>
                        </pic:nvPicPr>
                        <pic:blipFill rotWithShape="1">
                          <a:blip r:embed="rId12" cstate="print">
                            <a:extLst>
                              <a:ext uri="{28A0092B-C50C-407E-A947-70E740481C1C}">
                                <a14:useLocalDpi xmlns:a14="http://schemas.microsoft.com/office/drawing/2010/main" val="0"/>
                              </a:ext>
                            </a:extLst>
                          </a:blip>
                          <a:srcRect l="14016" t="18892" r="65263" b="28559"/>
                          <a:stretch>
                            <a:fillRect/>
                          </a:stretch>
                        </pic:blipFill>
                        <pic:spPr bwMode="auto">
                          <a:xfrm>
                            <a:off x="0" y="0"/>
                            <a:ext cx="3282286" cy="2341289"/>
                          </a:xfrm>
                          <a:prstGeom prst="rect">
                            <a:avLst/>
                          </a:prstGeom>
                          <a:ln>
                            <a:noFill/>
                          </a:ln>
                          <a:extLst>
                            <a:ext uri="{53640926-AAD7-44D8-BBD7-CCE9431645EC}">
                              <a14:shadowObscured xmlns:a14="http://schemas.microsoft.com/office/drawing/2010/main"/>
                            </a:ext>
                          </a:extLst>
                        </pic:spPr>
                      </pic:pic>
                    </a:graphicData>
                  </a:graphic>
                </wp:anchor>
              </w:drawing>
            </w:r>
            <w:r w:rsidR="009F1821" w:rsidRPr="009F1821">
              <w:rPr>
                <w:color w:val="auto"/>
              </w:rPr>
              <w:t>Assessing the religious makeup of the caseload is challenging due to incomplete data; religion is not recorded for nearly 55% of referrals. Among those with recorded information, Muslim service users represent the largest group at 26.5%, followed by Christian service users at 6.3%.</w:t>
            </w:r>
            <w:r w:rsidR="009B578B">
              <w:rPr>
                <w:color w:val="auto"/>
              </w:rPr>
              <w:t xml:space="preserve"> If we take City Ward 2021 census data as an example 60% of residents are Muslim, 18% are Christian and 11% state they have not religion. 6% of resident did not state their religion. </w:t>
            </w:r>
          </w:p>
          <w:p w14:paraId="3B1001DF" w14:textId="77777777" w:rsidR="00427CD7" w:rsidRDefault="009F1821" w:rsidP="0001382D">
            <w:pPr>
              <w:spacing w:after="120"/>
              <w:rPr>
                <w:color w:val="auto"/>
              </w:rPr>
            </w:pPr>
            <w:r w:rsidRPr="009F1821">
              <w:rPr>
                <w:color w:val="auto"/>
              </w:rPr>
              <w:t xml:space="preserve">Sexual orientation data is similarly limited, with 70% of referrals lacking this information. </w:t>
            </w:r>
            <w:r>
              <w:rPr>
                <w:color w:val="auto"/>
              </w:rPr>
              <w:t>W</w:t>
            </w:r>
            <w:r w:rsidRPr="009F1821">
              <w:rPr>
                <w:color w:val="auto"/>
              </w:rPr>
              <w:t>here sexual orientation is known, 96% identify as heterosexual, while the remaining 4% describe themselves as homosexual, gay, lesbian, or bisexual.</w:t>
            </w:r>
          </w:p>
          <w:p w14:paraId="6A68BB49" w14:textId="1E5F66D4" w:rsidR="0001382D" w:rsidRPr="00427CD7" w:rsidRDefault="008E2357" w:rsidP="0001382D">
            <w:pPr>
              <w:spacing w:after="120"/>
              <w:rPr>
                <w:color w:val="auto"/>
              </w:rPr>
            </w:pPr>
            <w:r>
              <w:rPr>
                <w:color w:val="auto"/>
              </w:rPr>
              <w:t>The team have worked to support physical access to the building with a review of the waiting room</w:t>
            </w:r>
            <w:r w:rsidR="0022538A">
              <w:rPr>
                <w:color w:val="auto"/>
              </w:rPr>
              <w:t xml:space="preserve"> to create a low stimulus space. There were examples of supporting patients to access the building for example, </w:t>
            </w:r>
            <w:r w:rsidR="00077338">
              <w:rPr>
                <w:color w:val="auto"/>
              </w:rPr>
              <w:t>waiting downstairs in a quiet space, meeting within quiet consultation rooms, being met to support lift use for service users</w:t>
            </w:r>
            <w:r w:rsidR="00C47B2A">
              <w:rPr>
                <w:color w:val="auto"/>
              </w:rPr>
              <w:t xml:space="preserve"> and carers. </w:t>
            </w:r>
            <w:r w:rsidR="00077338">
              <w:rPr>
                <w:color w:val="auto"/>
              </w:rPr>
              <w:t xml:space="preserve"> </w:t>
            </w:r>
          </w:p>
        </w:tc>
      </w:tr>
      <w:tr w:rsidR="00717B61" w:rsidRPr="00717B61" w14:paraId="33C08C90" w14:textId="10C0ED17" w:rsidTr="4B7E6360">
        <w:trPr>
          <w:cnfStyle w:val="000000100000" w:firstRow="0" w:lastRow="0" w:firstColumn="0" w:lastColumn="0" w:oddVBand="0" w:evenVBand="0" w:oddHBand="1" w:evenHBand="0" w:firstRowFirstColumn="0" w:firstRowLastColumn="0" w:lastRowFirstColumn="0" w:lastRowLastColumn="0"/>
        </w:trPr>
        <w:tc>
          <w:tcPr>
            <w:tcW w:w="11757" w:type="dxa"/>
            <w:tcBorders>
              <w:top w:val="single" w:sz="4" w:space="0" w:color="auto"/>
              <w:left w:val="single" w:sz="4" w:space="0" w:color="auto"/>
              <w:bottom w:val="single" w:sz="4" w:space="0" w:color="auto"/>
              <w:right w:val="single" w:sz="4" w:space="0" w:color="auto"/>
            </w:tcBorders>
            <w:shd w:val="clear" w:color="auto" w:fill="005EB8"/>
          </w:tcPr>
          <w:p w14:paraId="0BBB83EB" w14:textId="43FC365A" w:rsidR="006934AF" w:rsidRPr="00717B61" w:rsidRDefault="006934AF" w:rsidP="0001382D">
            <w:pPr>
              <w:spacing w:after="120"/>
              <w:rPr>
                <w:b/>
                <w:bCs/>
                <w:color w:val="FFFFFF" w:themeColor="background1"/>
              </w:rPr>
            </w:pPr>
            <w:r w:rsidRPr="00717B61">
              <w:rPr>
                <w:rFonts w:cs="Arial"/>
                <w:b/>
                <w:bCs/>
                <w:color w:val="FFFFFF" w:themeColor="background1"/>
              </w:rPr>
              <w:lastRenderedPageBreak/>
              <w:t>Outcome 1B: Individual patients (service users) health needs are met</w:t>
            </w:r>
          </w:p>
        </w:tc>
        <w:tc>
          <w:tcPr>
            <w:tcW w:w="2186" w:type="dxa"/>
            <w:tcBorders>
              <w:top w:val="single" w:sz="4" w:space="0" w:color="auto"/>
              <w:left w:val="single" w:sz="4" w:space="0" w:color="auto"/>
              <w:bottom w:val="single" w:sz="4" w:space="0" w:color="auto"/>
              <w:right w:val="single" w:sz="4" w:space="0" w:color="auto"/>
            </w:tcBorders>
            <w:shd w:val="clear" w:color="auto" w:fill="005EB8"/>
          </w:tcPr>
          <w:p w14:paraId="545457A2" w14:textId="61C23EE5" w:rsidR="006934AF" w:rsidRPr="00717B61" w:rsidRDefault="006934AF" w:rsidP="0001382D">
            <w:pPr>
              <w:spacing w:after="120"/>
              <w:rPr>
                <w:rFonts w:cs="Arial"/>
                <w:b/>
                <w:bCs/>
                <w:color w:val="FFFFFF" w:themeColor="background1"/>
              </w:rPr>
            </w:pPr>
            <w:r w:rsidRPr="00717B61">
              <w:rPr>
                <w:rFonts w:cs="Arial"/>
                <w:b/>
                <w:bCs/>
                <w:color w:val="FFFFFF" w:themeColor="background1"/>
              </w:rPr>
              <w:t xml:space="preserve">Score: </w:t>
            </w:r>
            <w:r w:rsidR="00F81CD9">
              <w:rPr>
                <w:rFonts w:cs="Arial"/>
                <w:b/>
                <w:bCs/>
                <w:color w:val="FFFFFF" w:themeColor="background1"/>
              </w:rPr>
              <w:t>2</w:t>
            </w:r>
          </w:p>
        </w:tc>
      </w:tr>
      <w:tr w:rsidR="00717B61" w:rsidRPr="00717B61" w14:paraId="47DD19D5" w14:textId="42B2B83E" w:rsidTr="4B7E6360">
        <w:tc>
          <w:tcPr>
            <w:tcW w:w="13943" w:type="dxa"/>
            <w:gridSpan w:val="2"/>
          </w:tcPr>
          <w:p w14:paraId="6E83B380" w14:textId="168FE213" w:rsidR="006934AF" w:rsidRDefault="006934AF" w:rsidP="0001382D">
            <w:pPr>
              <w:spacing w:after="120"/>
              <w:rPr>
                <w:b/>
                <w:bCs/>
                <w:color w:val="auto"/>
              </w:rPr>
            </w:pPr>
            <w:r w:rsidRPr="00717B61">
              <w:rPr>
                <w:b/>
                <w:bCs/>
                <w:color w:val="auto"/>
              </w:rPr>
              <w:t>Evidence:</w:t>
            </w:r>
          </w:p>
          <w:p w14:paraId="0ED5C161" w14:textId="77D87EBB" w:rsidR="00A85CE8" w:rsidRDefault="00621F39" w:rsidP="00621F39">
            <w:pPr>
              <w:spacing w:after="120"/>
              <w:rPr>
                <w:color w:val="auto"/>
              </w:rPr>
            </w:pPr>
            <w:r w:rsidRPr="00717B61">
              <w:rPr>
                <w:color w:val="auto"/>
              </w:rPr>
              <w:t xml:space="preserve">Approximately </w:t>
            </w:r>
            <w:r>
              <w:rPr>
                <w:color w:val="auto"/>
              </w:rPr>
              <w:t>27.4</w:t>
            </w:r>
            <w:r w:rsidRPr="00717B61">
              <w:rPr>
                <w:color w:val="auto"/>
              </w:rPr>
              <w:t>% of appointments are with a service user whose main spoken language is not English</w:t>
            </w:r>
            <w:r>
              <w:rPr>
                <w:color w:val="auto"/>
              </w:rPr>
              <w:t xml:space="preserve"> within their patient record.</w:t>
            </w:r>
            <w:r w:rsidR="00030266">
              <w:rPr>
                <w:color w:val="auto"/>
              </w:rPr>
              <w:t xml:space="preserve"> The team use an average of 50 face to face, 18 telephone and 5 video interpreting sessions per month. If we take </w:t>
            </w:r>
            <w:r w:rsidR="00A85CE8">
              <w:rPr>
                <w:color w:val="auto"/>
              </w:rPr>
              <w:t>two</w:t>
            </w:r>
            <w:r w:rsidR="00030266">
              <w:rPr>
                <w:color w:val="auto"/>
              </w:rPr>
              <w:t xml:space="preserve"> sample month</w:t>
            </w:r>
            <w:r w:rsidR="00A85CE8">
              <w:rPr>
                <w:color w:val="auto"/>
              </w:rPr>
              <w:t>s</w:t>
            </w:r>
            <w:r w:rsidR="00030266">
              <w:rPr>
                <w:color w:val="auto"/>
              </w:rPr>
              <w:t xml:space="preserve"> (September </w:t>
            </w:r>
            <w:r w:rsidR="00A85CE8">
              <w:rPr>
                <w:color w:val="auto"/>
              </w:rPr>
              <w:t xml:space="preserve">and July </w:t>
            </w:r>
            <w:r w:rsidR="00030266">
              <w:rPr>
                <w:color w:val="auto"/>
              </w:rPr>
              <w:t xml:space="preserve">2025) the service access interpreting </w:t>
            </w:r>
            <w:r w:rsidR="00D00730">
              <w:rPr>
                <w:color w:val="auto"/>
              </w:rPr>
              <w:t>i</w:t>
            </w:r>
            <w:r w:rsidR="00030266">
              <w:rPr>
                <w:color w:val="auto"/>
              </w:rPr>
              <w:t xml:space="preserve">n </w:t>
            </w:r>
            <w:r w:rsidR="008A4BBA">
              <w:rPr>
                <w:color w:val="auto"/>
              </w:rPr>
              <w:t>25</w:t>
            </w:r>
            <w:r w:rsidR="00D00730">
              <w:rPr>
                <w:color w:val="auto"/>
              </w:rPr>
              <w:t xml:space="preserve"> different spoken languages</w:t>
            </w:r>
            <w:r w:rsidR="008A4BBA">
              <w:rPr>
                <w:color w:val="auto"/>
              </w:rPr>
              <w:t xml:space="preserve"> varying from month to month demonstrating the responsiveness to patient need.</w:t>
            </w:r>
            <w:r w:rsidR="00016A16">
              <w:rPr>
                <w:color w:val="auto"/>
              </w:rPr>
              <w:t xml:space="preserve"> The team have worked hard to improve record keeping around language requirements so they can book ahead of time to meet the </w:t>
            </w:r>
            <w:proofErr w:type="spellStart"/>
            <w:r w:rsidR="00016A16">
              <w:rPr>
                <w:color w:val="auto"/>
              </w:rPr>
              <w:t>patients</w:t>
            </w:r>
            <w:proofErr w:type="spellEnd"/>
            <w:r w:rsidR="00016A16">
              <w:rPr>
                <w:color w:val="auto"/>
              </w:rPr>
              <w:t xml:space="preserve"> needs.</w:t>
            </w:r>
            <w:r w:rsidR="006C5FC3">
              <w:rPr>
                <w:color w:val="auto"/>
              </w:rPr>
              <w:t xml:space="preserve"> </w:t>
            </w:r>
            <w:r w:rsidR="007E75A2">
              <w:rPr>
                <w:color w:val="auto"/>
              </w:rPr>
              <w:t xml:space="preserve">The impact of having English as a second </w:t>
            </w:r>
            <w:r w:rsidR="00A20A23">
              <w:rPr>
                <w:color w:val="auto"/>
              </w:rPr>
              <w:t xml:space="preserve">or other language or being a </w:t>
            </w:r>
            <w:r w:rsidR="00BD420B">
              <w:rPr>
                <w:color w:val="auto"/>
              </w:rPr>
              <w:t>non-English</w:t>
            </w:r>
            <w:r w:rsidR="00A20A23">
              <w:rPr>
                <w:color w:val="auto"/>
              </w:rPr>
              <w:t xml:space="preserve"> speaker in therapy has been reviewed</w:t>
            </w:r>
            <w:r w:rsidR="00F01B8D">
              <w:rPr>
                <w:color w:val="auto"/>
              </w:rPr>
              <w:t xml:space="preserve"> with a project plan to make improvements. Training for staff and interpreters in therapy models and using interpreters would be helpful to enhance current impacts.</w:t>
            </w:r>
          </w:p>
          <w:p w14:paraId="7B73513F" w14:textId="178E007A" w:rsidR="00D00730" w:rsidRDefault="008A4BBA" w:rsidP="00621F39">
            <w:pPr>
              <w:spacing w:after="120"/>
              <w:rPr>
                <w:color w:val="auto"/>
              </w:rPr>
            </w:pPr>
            <w:r>
              <w:rPr>
                <w:noProof/>
                <w14:ligatures w14:val="standardContextual"/>
              </w:rPr>
              <w:lastRenderedPageBreak/>
              <w:drawing>
                <wp:anchor distT="0" distB="0" distL="114300" distR="114300" simplePos="0" relativeHeight="251658243" behindDoc="0" locked="0" layoutInCell="1" allowOverlap="1" wp14:anchorId="5C27B496" wp14:editId="0E6DBABD">
                  <wp:simplePos x="0" y="0"/>
                  <wp:positionH relativeFrom="column">
                    <wp:posOffset>4407858</wp:posOffset>
                  </wp:positionH>
                  <wp:positionV relativeFrom="paragraph">
                    <wp:posOffset>176084</wp:posOffset>
                  </wp:positionV>
                  <wp:extent cx="4189730" cy="3070225"/>
                  <wp:effectExtent l="0" t="0" r="1270" b="15875"/>
                  <wp:wrapThrough wrapText="bothSides">
                    <wp:wrapPolygon edited="0">
                      <wp:start x="0" y="0"/>
                      <wp:lineTo x="0" y="21578"/>
                      <wp:lineTo x="21508" y="21578"/>
                      <wp:lineTo x="21508" y="0"/>
                      <wp:lineTo x="0" y="0"/>
                    </wp:wrapPolygon>
                  </wp:wrapThrough>
                  <wp:docPr id="533475200" name="Chart 1">
                    <a:extLst xmlns:a="http://schemas.openxmlformats.org/drawingml/2006/main">
                      <a:ext uri="{FF2B5EF4-FFF2-40B4-BE49-F238E27FC236}">
                        <a16:creationId xmlns:a16="http://schemas.microsoft.com/office/drawing/2014/main" id="{65606B10-C1F6-9701-DD5D-8841919607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58242" behindDoc="0" locked="0" layoutInCell="1" allowOverlap="1" wp14:anchorId="21CB3932" wp14:editId="20C97760">
                  <wp:simplePos x="0" y="0"/>
                  <wp:positionH relativeFrom="column">
                    <wp:posOffset>0</wp:posOffset>
                  </wp:positionH>
                  <wp:positionV relativeFrom="paragraph">
                    <wp:posOffset>189420</wp:posOffset>
                  </wp:positionV>
                  <wp:extent cx="4319270" cy="3056890"/>
                  <wp:effectExtent l="0" t="0" r="5080" b="10160"/>
                  <wp:wrapThrough wrapText="bothSides">
                    <wp:wrapPolygon edited="0">
                      <wp:start x="0" y="0"/>
                      <wp:lineTo x="0" y="21537"/>
                      <wp:lineTo x="21530" y="21537"/>
                      <wp:lineTo x="21530" y="0"/>
                      <wp:lineTo x="0" y="0"/>
                    </wp:wrapPolygon>
                  </wp:wrapThrough>
                  <wp:docPr id="1120355932" name="Chart 1">
                    <a:extLst xmlns:a="http://schemas.openxmlformats.org/drawingml/2006/main">
                      <a:ext uri="{FF2B5EF4-FFF2-40B4-BE49-F238E27FC236}">
                        <a16:creationId xmlns:a16="http://schemas.microsoft.com/office/drawing/2014/main" id="{39A4DF32-AA57-4424-68FE-3E65D3E31D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728CB495" w14:textId="14AA2589" w:rsidR="0065747E" w:rsidRDefault="009B578B" w:rsidP="0001382D">
            <w:pPr>
              <w:spacing w:after="120"/>
              <w:rPr>
                <w:color w:val="auto"/>
              </w:rPr>
            </w:pPr>
            <w:r>
              <w:rPr>
                <w:color w:val="auto"/>
              </w:rPr>
              <w:t xml:space="preserve">Patient Related Outcome Measures </w:t>
            </w:r>
            <w:r w:rsidR="008A4BBA">
              <w:rPr>
                <w:color w:val="auto"/>
              </w:rPr>
              <w:t xml:space="preserve">(PROMS) </w:t>
            </w:r>
            <w:r w:rsidR="00427CD7">
              <w:rPr>
                <w:color w:val="auto"/>
              </w:rPr>
              <w:t xml:space="preserve">are being </w:t>
            </w:r>
            <w:r w:rsidR="008A4BBA">
              <w:rPr>
                <w:color w:val="auto"/>
              </w:rPr>
              <w:t xml:space="preserve">introduced for all service users. In City CMHT </w:t>
            </w:r>
            <w:r w:rsidR="00B872E2">
              <w:rPr>
                <w:color w:val="auto"/>
              </w:rPr>
              <w:t xml:space="preserve">the team </w:t>
            </w:r>
            <w:r w:rsidR="008A4BBA">
              <w:rPr>
                <w:color w:val="auto"/>
              </w:rPr>
              <w:t xml:space="preserve">are working to increase the number of service users with two or more measures so that the outcomes can be analysed. The Business Intelligence Team </w:t>
            </w:r>
            <w:proofErr w:type="gramStart"/>
            <w:r w:rsidR="008A4BBA">
              <w:rPr>
                <w:color w:val="auto"/>
              </w:rPr>
              <w:t>have aspirations</w:t>
            </w:r>
            <w:proofErr w:type="gramEnd"/>
            <w:r w:rsidR="008A4BBA">
              <w:rPr>
                <w:color w:val="auto"/>
              </w:rPr>
              <w:t xml:space="preserve"> to compare this data with IMD, Ethnicity, Sex, Sexual Orientation and Religion or Belief to give further EDI insights. </w:t>
            </w:r>
          </w:p>
          <w:p w14:paraId="07624518" w14:textId="38D78602" w:rsidR="008A4BBA" w:rsidRDefault="008A4BBA" w:rsidP="0001382D">
            <w:pPr>
              <w:spacing w:after="120"/>
              <w:rPr>
                <w:color w:val="auto"/>
              </w:rPr>
            </w:pPr>
            <w:r w:rsidRPr="3E682504">
              <w:rPr>
                <w:color w:val="auto"/>
              </w:rPr>
              <w:t xml:space="preserve">The </w:t>
            </w:r>
            <w:r w:rsidR="00D43A72" w:rsidRPr="3E682504">
              <w:rPr>
                <w:color w:val="auto"/>
              </w:rPr>
              <w:t>care plan / assessment includes space to ask service users about identity and sense of self. Areas such as religion or belief and spirituality, sexual orientation and gender identity for example can be discussed as part of assessment</w:t>
            </w:r>
            <w:r w:rsidR="00285E1F">
              <w:rPr>
                <w:color w:val="auto"/>
              </w:rPr>
              <w:t>, formulations and protective factor discussions in</w:t>
            </w:r>
            <w:r w:rsidR="00D43A72" w:rsidRPr="3E682504">
              <w:rPr>
                <w:color w:val="auto"/>
              </w:rPr>
              <w:t xml:space="preserve"> care planning</w:t>
            </w:r>
            <w:r w:rsidR="0019014E">
              <w:rPr>
                <w:color w:val="auto"/>
              </w:rPr>
              <w:t>.</w:t>
            </w:r>
            <w:r w:rsidR="00285E1F">
              <w:rPr>
                <w:color w:val="auto"/>
              </w:rPr>
              <w:t xml:space="preserve"> </w:t>
            </w:r>
            <w:r w:rsidR="001D3526">
              <w:rPr>
                <w:color w:val="auto"/>
              </w:rPr>
              <w:t>Having specific sections relating to this could enhance it</w:t>
            </w:r>
            <w:r w:rsidR="00442E39">
              <w:rPr>
                <w:color w:val="auto"/>
              </w:rPr>
              <w:t xml:space="preserve"> along with training to support staff in having the confidence to ask about sexual orientation and religion.</w:t>
            </w:r>
            <w:r w:rsidR="00B44C16">
              <w:rPr>
                <w:color w:val="auto"/>
              </w:rPr>
              <w:t xml:space="preserve"> A suggestion was made to make the </w:t>
            </w:r>
            <w:r w:rsidR="00390392">
              <w:rPr>
                <w:color w:val="auto"/>
              </w:rPr>
              <w:t>anti-racism</w:t>
            </w:r>
            <w:r w:rsidR="00B44C16">
              <w:rPr>
                <w:color w:val="auto"/>
              </w:rPr>
              <w:t xml:space="preserve"> framework </w:t>
            </w:r>
            <w:r w:rsidR="00390392">
              <w:rPr>
                <w:color w:val="auto"/>
              </w:rPr>
              <w:t>and e-learning mandatory.</w:t>
            </w:r>
            <w:r w:rsidR="0019014E">
              <w:rPr>
                <w:color w:val="auto"/>
              </w:rPr>
              <w:t xml:space="preserve"> </w:t>
            </w:r>
            <w:r w:rsidR="00D43A72" w:rsidRPr="3E682504">
              <w:rPr>
                <w:color w:val="auto"/>
              </w:rPr>
              <w:t>The team share and refer service users to a range of specialist and voluntary and community services in response to this information. The team regularly utilise the Trusts Chaplaincy Service to support spiritual and Pastoral Care.</w:t>
            </w:r>
          </w:p>
          <w:p w14:paraId="531471FF" w14:textId="76F15426" w:rsidR="00AD13F4" w:rsidRDefault="00AD13F4" w:rsidP="0001382D">
            <w:pPr>
              <w:spacing w:after="120"/>
              <w:rPr>
                <w:color w:val="auto"/>
              </w:rPr>
            </w:pPr>
            <w:r>
              <w:rPr>
                <w:color w:val="auto"/>
              </w:rPr>
              <w:lastRenderedPageBreak/>
              <w:t>Personal</w:t>
            </w:r>
            <w:r w:rsidR="00E6051D">
              <w:rPr>
                <w:color w:val="auto"/>
              </w:rPr>
              <w:t>ise</w:t>
            </w:r>
            <w:r w:rsidR="00861440">
              <w:rPr>
                <w:color w:val="auto"/>
              </w:rPr>
              <w:t>d</w:t>
            </w:r>
            <w:r w:rsidR="00E6051D">
              <w:rPr>
                <w:color w:val="auto"/>
              </w:rPr>
              <w:t xml:space="preserve"> care is a priority to the team. </w:t>
            </w:r>
            <w:r w:rsidR="00194AB0">
              <w:rPr>
                <w:color w:val="auto"/>
              </w:rPr>
              <w:t>Care plans are always tailored to service user need and through discussion with them. There can be</w:t>
            </w:r>
            <w:r w:rsidR="00DA12E0">
              <w:rPr>
                <w:color w:val="auto"/>
              </w:rPr>
              <w:t xml:space="preserve"> a</w:t>
            </w:r>
            <w:r w:rsidR="00194AB0">
              <w:rPr>
                <w:color w:val="auto"/>
              </w:rPr>
              <w:t xml:space="preserve"> challenge with this when </w:t>
            </w:r>
            <w:r w:rsidR="00625444">
              <w:rPr>
                <w:color w:val="auto"/>
              </w:rPr>
              <w:t>a patient is in crisis or has been referred straight from hospital as it can take time to connect</w:t>
            </w:r>
            <w:r w:rsidR="00DA12E0">
              <w:rPr>
                <w:color w:val="auto"/>
              </w:rPr>
              <w:t>, digest</w:t>
            </w:r>
            <w:r w:rsidR="00625444">
              <w:rPr>
                <w:color w:val="auto"/>
              </w:rPr>
              <w:t xml:space="preserve"> and develop trust </w:t>
            </w:r>
            <w:r w:rsidR="00DA12E0">
              <w:rPr>
                <w:color w:val="auto"/>
              </w:rPr>
              <w:t>with the service user and family.</w:t>
            </w:r>
            <w:r w:rsidR="00861440">
              <w:rPr>
                <w:color w:val="auto"/>
              </w:rPr>
              <w:t xml:space="preserve"> Discussion about EDI factors can feel a lesser priority unless they are obvious in these situations.</w:t>
            </w:r>
            <w:r w:rsidR="00DA12E0">
              <w:rPr>
                <w:color w:val="auto"/>
              </w:rPr>
              <w:t xml:space="preserve"> </w:t>
            </w:r>
            <w:r w:rsidR="00EE4016">
              <w:rPr>
                <w:color w:val="auto"/>
              </w:rPr>
              <w:t>The team work to develop this</w:t>
            </w:r>
            <w:r w:rsidR="00861440">
              <w:rPr>
                <w:color w:val="auto"/>
              </w:rPr>
              <w:t xml:space="preserve"> information and collaboration</w:t>
            </w:r>
            <w:r w:rsidR="00EE4016">
              <w:rPr>
                <w:color w:val="auto"/>
              </w:rPr>
              <w:t xml:space="preserve"> over time. </w:t>
            </w:r>
            <w:r w:rsidR="00DB7A85">
              <w:rPr>
                <w:color w:val="auto"/>
              </w:rPr>
              <w:t xml:space="preserve">They may for example leave the care plan with the person to give them time to consider their needs and how it might need to be recorded then work with them together to capture that. </w:t>
            </w:r>
            <w:r w:rsidR="00861440">
              <w:rPr>
                <w:color w:val="auto"/>
              </w:rPr>
              <w:t>It was suggested that accessible or translated versions of the care plans would be helpful</w:t>
            </w:r>
            <w:r w:rsidR="00F93EB3">
              <w:rPr>
                <w:color w:val="auto"/>
              </w:rPr>
              <w:t xml:space="preserve"> to develop.</w:t>
            </w:r>
          </w:p>
          <w:p w14:paraId="0AF720B1" w14:textId="48718261" w:rsidR="2851BA36" w:rsidRDefault="2851BA36" w:rsidP="3E682504">
            <w:pPr>
              <w:spacing w:after="120"/>
              <w:rPr>
                <w:color w:val="auto"/>
              </w:rPr>
            </w:pPr>
            <w:r w:rsidRPr="6DD6594B">
              <w:rPr>
                <w:color w:val="auto"/>
              </w:rPr>
              <w:t>Due to the location the team work in they are proactive to EDI needs. They have worked hard to be representative of the community so that they can better meet the needs of service users</w:t>
            </w:r>
            <w:r w:rsidR="6F0F5075" w:rsidRPr="6DD6594B">
              <w:rPr>
                <w:color w:val="auto"/>
              </w:rPr>
              <w:t xml:space="preserve"> and are passionate about tackling health inequalities. </w:t>
            </w:r>
            <w:r w:rsidR="00F667BA">
              <w:rPr>
                <w:color w:val="auto"/>
              </w:rPr>
              <w:t xml:space="preserve">The </w:t>
            </w:r>
            <w:proofErr w:type="spellStart"/>
            <w:r w:rsidR="00FA41FA">
              <w:rPr>
                <w:color w:val="auto"/>
              </w:rPr>
              <w:t>Multi Disciplinary</w:t>
            </w:r>
            <w:proofErr w:type="spellEnd"/>
            <w:r w:rsidR="00FA41FA">
              <w:rPr>
                <w:color w:val="auto"/>
              </w:rPr>
              <w:t xml:space="preserve"> Team are diverse in culture and background and</w:t>
            </w:r>
            <w:r w:rsidR="00F667BA">
              <w:rPr>
                <w:color w:val="auto"/>
              </w:rPr>
              <w:t xml:space="preserve"> are </w:t>
            </w:r>
            <w:r w:rsidR="00016A16">
              <w:rPr>
                <w:color w:val="auto"/>
              </w:rPr>
              <w:t xml:space="preserve">regularly </w:t>
            </w:r>
            <w:r w:rsidR="00F667BA">
              <w:rPr>
                <w:color w:val="auto"/>
              </w:rPr>
              <w:t xml:space="preserve">called upon to advise and inform practice using their lived experience, knowledge and skills. </w:t>
            </w:r>
            <w:r w:rsidR="6F0F5075" w:rsidRPr="6DD6594B">
              <w:rPr>
                <w:color w:val="auto"/>
              </w:rPr>
              <w:t xml:space="preserve">There were many examples of the team working to support the </w:t>
            </w:r>
            <w:r w:rsidR="64E73ADC" w:rsidRPr="6DD6594B">
              <w:rPr>
                <w:color w:val="auto"/>
              </w:rPr>
              <w:t xml:space="preserve">wider </w:t>
            </w:r>
            <w:r w:rsidR="6F0F5075" w:rsidRPr="6DD6594B">
              <w:rPr>
                <w:color w:val="auto"/>
              </w:rPr>
              <w:t>needs of th</w:t>
            </w:r>
            <w:r w:rsidR="679B0316" w:rsidRPr="6DD6594B">
              <w:rPr>
                <w:color w:val="auto"/>
              </w:rPr>
              <w:t xml:space="preserve">eir client groups shared. </w:t>
            </w:r>
            <w:r w:rsidR="06E2503F" w:rsidRPr="6DD6594B">
              <w:rPr>
                <w:color w:val="auto"/>
              </w:rPr>
              <w:t xml:space="preserve">Referrals were regularly made to VCSE </w:t>
            </w:r>
            <w:r w:rsidR="00C83BEC">
              <w:rPr>
                <w:color w:val="auto"/>
              </w:rPr>
              <w:t xml:space="preserve">and faith </w:t>
            </w:r>
            <w:r w:rsidR="06E2503F" w:rsidRPr="6DD6594B">
              <w:rPr>
                <w:color w:val="auto"/>
              </w:rPr>
              <w:t>partners</w:t>
            </w:r>
            <w:r w:rsidR="00137418">
              <w:rPr>
                <w:color w:val="auto"/>
              </w:rPr>
              <w:t xml:space="preserve"> such as African community groups, </w:t>
            </w:r>
            <w:proofErr w:type="gramStart"/>
            <w:r w:rsidR="00137418">
              <w:rPr>
                <w:color w:val="auto"/>
              </w:rPr>
              <w:t>South East</w:t>
            </w:r>
            <w:proofErr w:type="gramEnd"/>
            <w:r w:rsidR="00137418">
              <w:rPr>
                <w:color w:val="auto"/>
              </w:rPr>
              <w:t xml:space="preserve"> Asian </w:t>
            </w:r>
            <w:r w:rsidR="008F7B2B">
              <w:rPr>
                <w:color w:val="auto"/>
              </w:rPr>
              <w:t>Women’s, Women and Men’s</w:t>
            </w:r>
            <w:r w:rsidR="00137418">
              <w:rPr>
                <w:color w:val="auto"/>
              </w:rPr>
              <w:t xml:space="preserve"> Groups, </w:t>
            </w:r>
            <w:r w:rsidR="06E2503F" w:rsidRPr="6DD6594B">
              <w:rPr>
                <w:color w:val="auto"/>
              </w:rPr>
              <w:t xml:space="preserve">for support with housing, substance use, finance, education, safety etc. </w:t>
            </w:r>
          </w:p>
          <w:p w14:paraId="7899F72D" w14:textId="233BB485" w:rsidR="00C47B2A" w:rsidRDefault="00C47B2A" w:rsidP="3E682504">
            <w:pPr>
              <w:spacing w:after="120"/>
              <w:rPr>
                <w:color w:val="auto"/>
              </w:rPr>
            </w:pPr>
            <w:r>
              <w:rPr>
                <w:color w:val="auto"/>
              </w:rPr>
              <w:t>There were examples of team lived experience being used to inform LGBT support for service users</w:t>
            </w:r>
            <w:r w:rsidR="007A69E6">
              <w:rPr>
                <w:color w:val="auto"/>
              </w:rPr>
              <w:t xml:space="preserve">. Insights were used to address stigma and support onward referrals and support. </w:t>
            </w:r>
            <w:r w:rsidR="00803095">
              <w:rPr>
                <w:color w:val="auto"/>
              </w:rPr>
              <w:t xml:space="preserve">There was awareness that due to the high proportion of Islamic and </w:t>
            </w:r>
            <w:proofErr w:type="gramStart"/>
            <w:r w:rsidR="00803095">
              <w:rPr>
                <w:color w:val="auto"/>
              </w:rPr>
              <w:t>South East</w:t>
            </w:r>
            <w:proofErr w:type="gramEnd"/>
            <w:r w:rsidR="00803095">
              <w:rPr>
                <w:color w:val="auto"/>
              </w:rPr>
              <w:t xml:space="preserve"> Asian </w:t>
            </w:r>
            <w:r w:rsidR="0035450B">
              <w:rPr>
                <w:color w:val="auto"/>
              </w:rPr>
              <w:t xml:space="preserve">service </w:t>
            </w:r>
            <w:proofErr w:type="gramStart"/>
            <w:r w:rsidR="0035450B">
              <w:rPr>
                <w:color w:val="auto"/>
              </w:rPr>
              <w:t>users</w:t>
            </w:r>
            <w:proofErr w:type="gramEnd"/>
            <w:r w:rsidR="0035450B">
              <w:rPr>
                <w:color w:val="auto"/>
              </w:rPr>
              <w:t xml:space="preserve"> other faiths and ethnic backgrounds could need </w:t>
            </w:r>
            <w:r w:rsidR="00283EA9">
              <w:rPr>
                <w:color w:val="auto"/>
              </w:rPr>
              <w:t xml:space="preserve">further </w:t>
            </w:r>
            <w:r w:rsidR="00FD55F0">
              <w:rPr>
                <w:color w:val="auto"/>
              </w:rPr>
              <w:t xml:space="preserve">support development. Eastern European groups </w:t>
            </w:r>
            <w:r w:rsidR="00283EA9">
              <w:rPr>
                <w:color w:val="auto"/>
              </w:rPr>
              <w:t xml:space="preserve">were identified as a priority. </w:t>
            </w:r>
          </w:p>
          <w:p w14:paraId="04DEB241" w14:textId="77777777" w:rsidR="0045534A" w:rsidRDefault="0045534A" w:rsidP="0001382D">
            <w:pPr>
              <w:spacing w:after="120"/>
              <w:rPr>
                <w:color w:val="auto"/>
              </w:rPr>
            </w:pPr>
            <w:r w:rsidRPr="00092C1E">
              <w:rPr>
                <w:color w:val="auto"/>
              </w:rPr>
              <w:t>The team have developed virtual tours of the CMHT Psychological Therapies service to improve access by helping service users, carers and</w:t>
            </w:r>
            <w:r>
              <w:rPr>
                <w:color w:val="auto"/>
              </w:rPr>
              <w:t xml:space="preserve"> other referring</w:t>
            </w:r>
            <w:r w:rsidRPr="00092C1E">
              <w:rPr>
                <w:color w:val="auto"/>
              </w:rPr>
              <w:t xml:space="preserve"> professionals better understand what to expect, reduce anxiety around referrals and support more informed decision-making</w:t>
            </w:r>
            <w:r>
              <w:rPr>
                <w:color w:val="auto"/>
              </w:rPr>
              <w:t>. This is aimed at improving access for all service users but is beneficial to neurodiverse patients who may benefit from visualising where they are going and what will happen.</w:t>
            </w:r>
          </w:p>
          <w:p w14:paraId="47376E8F" w14:textId="734DB8C5" w:rsidR="00987429" w:rsidRDefault="00987429" w:rsidP="00987429">
            <w:pPr>
              <w:spacing w:after="120"/>
              <w:rPr>
                <w:color w:val="auto"/>
              </w:rPr>
            </w:pPr>
            <w:r>
              <w:rPr>
                <w:color w:val="auto"/>
              </w:rPr>
              <w:t xml:space="preserve">The CMHT Teams are involved in a Care Trust Way Service Improvement Programme which has enabled staff from across the service to come together to work intensively using data and stakeholder feedback to explore areas for development. Initial findings have found that </w:t>
            </w:r>
            <w:r w:rsidRPr="00987429">
              <w:rPr>
                <w:color w:val="auto"/>
              </w:rPr>
              <w:t xml:space="preserve">when </w:t>
            </w:r>
            <w:r>
              <w:rPr>
                <w:color w:val="auto"/>
              </w:rPr>
              <w:t xml:space="preserve">a selection of </w:t>
            </w:r>
            <w:r w:rsidRPr="00987429">
              <w:rPr>
                <w:color w:val="auto"/>
              </w:rPr>
              <w:t xml:space="preserve">messages </w:t>
            </w:r>
            <w:r>
              <w:rPr>
                <w:color w:val="auto"/>
              </w:rPr>
              <w:t xml:space="preserve">were put </w:t>
            </w:r>
            <w:r w:rsidRPr="00987429">
              <w:rPr>
                <w:color w:val="auto"/>
              </w:rPr>
              <w:t>through Readability NHS checkers th</w:t>
            </w:r>
            <w:r>
              <w:rPr>
                <w:color w:val="auto"/>
              </w:rPr>
              <w:t>e</w:t>
            </w:r>
            <w:r w:rsidRPr="00987429">
              <w:rPr>
                <w:color w:val="auto"/>
              </w:rPr>
              <w:t xml:space="preserve"> reading age was 14+</w:t>
            </w:r>
            <w:r>
              <w:rPr>
                <w:color w:val="auto"/>
              </w:rPr>
              <w:t>. The</w:t>
            </w:r>
            <w:r w:rsidRPr="00987429">
              <w:rPr>
                <w:color w:val="auto"/>
              </w:rPr>
              <w:t xml:space="preserve"> average reading age in the UK is 11, and in higher indices of deprivation</w:t>
            </w:r>
            <w:r w:rsidR="00662BA0">
              <w:rPr>
                <w:color w:val="auto"/>
              </w:rPr>
              <w:t xml:space="preserve"> areas such a</w:t>
            </w:r>
            <w:r w:rsidR="00C76568">
              <w:rPr>
                <w:color w:val="auto"/>
              </w:rPr>
              <w:t>s</w:t>
            </w:r>
            <w:r w:rsidR="00662BA0">
              <w:rPr>
                <w:color w:val="auto"/>
              </w:rPr>
              <w:t xml:space="preserve"> the areas covered by City CMHT</w:t>
            </w:r>
            <w:r w:rsidRPr="00987429">
              <w:rPr>
                <w:color w:val="auto"/>
              </w:rPr>
              <w:t xml:space="preserve">, 40% of adults have a reading age of 6-7 years. English is </w:t>
            </w:r>
            <w:r w:rsidR="00662BA0">
              <w:rPr>
                <w:color w:val="auto"/>
              </w:rPr>
              <w:t>the predominant</w:t>
            </w:r>
            <w:r w:rsidRPr="00987429">
              <w:rPr>
                <w:color w:val="auto"/>
              </w:rPr>
              <w:t xml:space="preserve"> language </w:t>
            </w:r>
            <w:r w:rsidR="00662BA0">
              <w:rPr>
                <w:color w:val="auto"/>
              </w:rPr>
              <w:t xml:space="preserve">used to </w:t>
            </w:r>
            <w:r w:rsidRPr="00987429">
              <w:rPr>
                <w:color w:val="auto"/>
              </w:rPr>
              <w:t>communicate in writing which</w:t>
            </w:r>
            <w:r w:rsidR="00662BA0">
              <w:rPr>
                <w:color w:val="auto"/>
              </w:rPr>
              <w:t xml:space="preserve"> could create a barrier to communication for</w:t>
            </w:r>
            <w:r w:rsidRPr="00987429">
              <w:rPr>
                <w:color w:val="auto"/>
              </w:rPr>
              <w:t xml:space="preserve"> up to 20% of Bradford households (Census data from 2021 says that 83.1% of households have English as a first language for all adults).</w:t>
            </w:r>
            <w:r w:rsidR="00787559">
              <w:rPr>
                <w:color w:val="auto"/>
              </w:rPr>
              <w:t xml:space="preserve"> The benefits and considerations relating to text communication with patients is being explored through this workstream.</w:t>
            </w:r>
            <w:r w:rsidR="00983961">
              <w:rPr>
                <w:color w:val="auto"/>
              </w:rPr>
              <w:t xml:space="preserve"> </w:t>
            </w:r>
          </w:p>
          <w:p w14:paraId="6B3F6A88" w14:textId="49CAFB77" w:rsidR="00662BA0" w:rsidRDefault="3429251C" w:rsidP="00987429">
            <w:pPr>
              <w:spacing w:after="120"/>
              <w:rPr>
                <w:color w:val="auto"/>
              </w:rPr>
            </w:pPr>
            <w:r w:rsidRPr="4B7E6360">
              <w:rPr>
                <w:color w:val="auto"/>
              </w:rPr>
              <w:lastRenderedPageBreak/>
              <w:t xml:space="preserve">Staff raised concern about the delay it can take to get letters translated and sent to patients who do not read English. They want to enable families to read information around referrals, assessment and </w:t>
            </w:r>
            <w:proofErr w:type="spellStart"/>
            <w:r w:rsidRPr="4B7E6360">
              <w:rPr>
                <w:color w:val="auto"/>
              </w:rPr>
              <w:t>self care</w:t>
            </w:r>
            <w:proofErr w:type="spellEnd"/>
            <w:r w:rsidRPr="4B7E6360">
              <w:rPr>
                <w:color w:val="auto"/>
              </w:rPr>
              <w:t xml:space="preserve"> in a t</w:t>
            </w:r>
            <w:r w:rsidR="2E8F8801" w:rsidRPr="4B7E6360">
              <w:rPr>
                <w:color w:val="auto"/>
              </w:rPr>
              <w:t xml:space="preserve">imely manner after appointments. </w:t>
            </w:r>
            <w:r w:rsidRPr="4B7E6360">
              <w:rPr>
                <w:color w:val="auto"/>
              </w:rPr>
              <w:t xml:space="preserve"> </w:t>
            </w:r>
            <w:r w:rsidR="00662BA0" w:rsidRPr="4B7E6360">
              <w:rPr>
                <w:color w:val="auto"/>
              </w:rPr>
              <w:t>The Patient Knows Best Digital Programme has introduced a tool that enables patients to sign up and access written information from the Trust in different formats and accessible ways. Launched in January 2025 4500 patients had signed up from pilot services by March 2025. Scope to roll this out across the Trust is being explored.</w:t>
            </w:r>
          </w:p>
          <w:p w14:paraId="1452505D" w14:textId="70FA558C" w:rsidR="253430B7" w:rsidRDefault="253430B7" w:rsidP="4B7E6360">
            <w:pPr>
              <w:spacing w:after="120"/>
              <w:rPr>
                <w:color w:val="auto"/>
              </w:rPr>
            </w:pPr>
            <w:r w:rsidRPr="4B7E6360">
              <w:rPr>
                <w:color w:val="auto"/>
              </w:rPr>
              <w:t xml:space="preserve">The team are aware of the potential for reduced access for some minoritised groups where knowledge of services, health literacy and stigma relating to mental health could be a factor. The team offer contact and support in different formats to encourage participation from under-represented groups within the case load. </w:t>
            </w:r>
            <w:r w:rsidR="387D3A77" w:rsidRPr="4B7E6360">
              <w:rPr>
                <w:color w:val="auto"/>
              </w:rPr>
              <w:t xml:space="preserve">This includes opportunities for family work, providing consultation space in the community and new programmes like the ones referred </w:t>
            </w:r>
            <w:r w:rsidR="0E8D2087" w:rsidRPr="4B7E6360">
              <w:rPr>
                <w:color w:val="auto"/>
              </w:rPr>
              <w:t>to below.</w:t>
            </w:r>
          </w:p>
          <w:p w14:paraId="22D4A28B" w14:textId="77777777" w:rsidR="00C76568" w:rsidRDefault="00986904" w:rsidP="00987429">
            <w:pPr>
              <w:spacing w:after="120"/>
              <w:rPr>
                <w:color w:val="auto"/>
              </w:rPr>
            </w:pPr>
            <w:r>
              <w:rPr>
                <w:color w:val="auto"/>
              </w:rPr>
              <w:t xml:space="preserve">Over the last 12 months </w:t>
            </w:r>
            <w:r w:rsidRPr="00986904">
              <w:rPr>
                <w:color w:val="auto"/>
              </w:rPr>
              <w:t>Service Evaluation Projects for CMHT Assistant Psychologists</w:t>
            </w:r>
            <w:r>
              <w:rPr>
                <w:color w:val="auto"/>
              </w:rPr>
              <w:t xml:space="preserve"> have </w:t>
            </w:r>
            <w:r w:rsidR="00C76568">
              <w:rPr>
                <w:color w:val="auto"/>
              </w:rPr>
              <w:t>included</w:t>
            </w:r>
          </w:p>
          <w:p w14:paraId="4D0C1C8A" w14:textId="059BD5C7" w:rsidR="00986904" w:rsidRDefault="00986904" w:rsidP="00C76568">
            <w:pPr>
              <w:pStyle w:val="ListParagraph"/>
              <w:numPr>
                <w:ilvl w:val="0"/>
                <w:numId w:val="48"/>
              </w:numPr>
              <w:spacing w:after="120"/>
              <w:rPr>
                <w:color w:val="auto"/>
              </w:rPr>
            </w:pPr>
            <w:r w:rsidRPr="00C76568">
              <w:rPr>
                <w:color w:val="auto"/>
              </w:rPr>
              <w:t xml:space="preserve">co-production work to make our therapy agreements easy read and inclusive. There are plans to continue this work to look at existing templates and </w:t>
            </w:r>
            <w:r w:rsidR="006C1B7D" w:rsidRPr="00C76568">
              <w:rPr>
                <w:color w:val="auto"/>
              </w:rPr>
              <w:t xml:space="preserve">correspondence. </w:t>
            </w:r>
          </w:p>
          <w:p w14:paraId="56220EC0" w14:textId="73226374" w:rsidR="00C76568" w:rsidRPr="00C76568" w:rsidRDefault="00C76568" w:rsidP="00C76568">
            <w:pPr>
              <w:pStyle w:val="ListParagraph"/>
              <w:numPr>
                <w:ilvl w:val="0"/>
                <w:numId w:val="48"/>
              </w:numPr>
              <w:spacing w:after="120"/>
              <w:rPr>
                <w:color w:val="auto"/>
              </w:rPr>
            </w:pPr>
            <w:r>
              <w:rPr>
                <w:color w:val="auto"/>
              </w:rPr>
              <w:t xml:space="preserve">A review of co-designing secondary mental health services with ethnically diverse communities. </w:t>
            </w:r>
          </w:p>
          <w:p w14:paraId="37D7B634" w14:textId="5EFC5F75" w:rsidR="00987429" w:rsidRDefault="006C1B7D" w:rsidP="0001382D">
            <w:pPr>
              <w:spacing w:after="120"/>
              <w:rPr>
                <w:color w:val="auto"/>
              </w:rPr>
            </w:pPr>
            <w:r>
              <w:rPr>
                <w:color w:val="auto"/>
              </w:rPr>
              <w:t>The Service has introduced a new Group Therapy Approach called Stepping Stones</w:t>
            </w:r>
            <w:r w:rsidR="00DE07A5">
              <w:rPr>
                <w:color w:val="auto"/>
              </w:rPr>
              <w:t xml:space="preserve"> in partnership with Mind Bradford</w:t>
            </w:r>
            <w:r>
              <w:rPr>
                <w:color w:val="auto"/>
              </w:rPr>
              <w:t>:</w:t>
            </w:r>
          </w:p>
          <w:p w14:paraId="43AFDBB0" w14:textId="77777777" w:rsidR="00540124" w:rsidRDefault="00E72FE3" w:rsidP="6DD6594B">
            <w:pPr>
              <w:spacing w:after="120"/>
              <w:rPr>
                <w:color w:val="auto"/>
              </w:rPr>
            </w:pPr>
            <w:r>
              <w:rPr>
                <w:noProof/>
              </w:rPr>
              <w:lastRenderedPageBreak/>
              <w:drawing>
                <wp:anchor distT="0" distB="0" distL="114300" distR="114300" simplePos="0" relativeHeight="251658244" behindDoc="0" locked="0" layoutInCell="1" allowOverlap="1" wp14:anchorId="385A0A8B" wp14:editId="2994405A">
                  <wp:simplePos x="0" y="0"/>
                  <wp:positionH relativeFrom="column">
                    <wp:align>left</wp:align>
                  </wp:positionH>
                  <wp:positionV relativeFrom="paragraph">
                    <wp:posOffset>0</wp:posOffset>
                  </wp:positionV>
                  <wp:extent cx="3892550" cy="2797175"/>
                  <wp:effectExtent l="0" t="0" r="0" b="3175"/>
                  <wp:wrapSquare wrapText="bothSides"/>
                  <wp:docPr id="11268588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58803" name="Picture 1" descr="A screenshot of a computer&#10;&#10;Description automatically generated"/>
                          <pic:cNvPicPr/>
                        </pic:nvPicPr>
                        <pic:blipFill rotWithShape="1">
                          <a:blip r:embed="rId15" cstate="print">
                            <a:extLst>
                              <a:ext uri="{28A0092B-C50C-407E-A947-70E740481C1C}">
                                <a14:useLocalDpi xmlns:a14="http://schemas.microsoft.com/office/drawing/2010/main" val="0"/>
                              </a:ext>
                            </a:extLst>
                          </a:blip>
                          <a:srcRect l="8881" t="8246" r="58667" b="27869"/>
                          <a:stretch>
                            <a:fillRect/>
                          </a:stretch>
                        </pic:blipFill>
                        <pic:spPr bwMode="auto">
                          <a:xfrm>
                            <a:off x="0" y="0"/>
                            <a:ext cx="3895704" cy="28000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1B7D">
              <w:rPr>
                <w:color w:val="auto"/>
              </w:rPr>
              <w:t xml:space="preserve">The outcomes for service users have been broad and sustained. Staff from both BDCFT and Mind have enjoyed the opportunity to work in this way reporting high levels of job satisfaction </w:t>
            </w:r>
            <w:proofErr w:type="gramStart"/>
            <w:r w:rsidR="006C1B7D">
              <w:rPr>
                <w:color w:val="auto"/>
              </w:rPr>
              <w:t>as a result of</w:t>
            </w:r>
            <w:proofErr w:type="gramEnd"/>
            <w:r w:rsidR="006C1B7D">
              <w:rPr>
                <w:color w:val="auto"/>
              </w:rPr>
              <w:t xml:space="preserve"> the collaborative approach. The </w:t>
            </w:r>
            <w:proofErr w:type="spellStart"/>
            <w:r w:rsidR="006C1B7D">
              <w:rPr>
                <w:color w:val="auto"/>
              </w:rPr>
              <w:t>programmme</w:t>
            </w:r>
            <w:proofErr w:type="spellEnd"/>
            <w:r w:rsidR="006C1B7D">
              <w:rPr>
                <w:color w:val="auto"/>
              </w:rPr>
              <w:t xml:space="preserve"> enables service users to connect and share their identities, growing in confidence and self-assurance. </w:t>
            </w:r>
          </w:p>
          <w:p w14:paraId="182088C3" w14:textId="3BF1D6B9" w:rsidR="006C1B7D" w:rsidRDefault="00472B5A" w:rsidP="6DD6594B">
            <w:pPr>
              <w:spacing w:after="120"/>
              <w:rPr>
                <w:rFonts w:eastAsia="Times New Roman" w:cs="Times New Roman"/>
                <w:color w:val="auto"/>
                <w:lang w:eastAsia="en-GB"/>
              </w:rPr>
            </w:pPr>
            <w:r>
              <w:rPr>
                <w:color w:val="auto"/>
              </w:rPr>
              <w:t>Unfortunately</w:t>
            </w:r>
            <w:r w:rsidR="001117E1">
              <w:rPr>
                <w:color w:val="auto"/>
              </w:rPr>
              <w:t>,</w:t>
            </w:r>
            <w:r>
              <w:rPr>
                <w:color w:val="auto"/>
              </w:rPr>
              <w:t xml:space="preserve"> this programme will not be commissioned going forward</w:t>
            </w:r>
            <w:r w:rsidR="00AC2D9A">
              <w:rPr>
                <w:color w:val="auto"/>
              </w:rPr>
              <w:t xml:space="preserve"> due to the current </w:t>
            </w:r>
            <w:r w:rsidR="008C32BC">
              <w:rPr>
                <w:color w:val="auto"/>
              </w:rPr>
              <w:t xml:space="preserve">financial challenges. The team would like to </w:t>
            </w:r>
            <w:r w:rsidR="00B6317E">
              <w:rPr>
                <w:color w:val="auto"/>
              </w:rPr>
              <w:t xml:space="preserve">plan more coproduction </w:t>
            </w:r>
            <w:proofErr w:type="gramStart"/>
            <w:r w:rsidR="00B6317E">
              <w:rPr>
                <w:color w:val="auto"/>
              </w:rPr>
              <w:t xml:space="preserve">opportunities </w:t>
            </w:r>
            <w:r w:rsidR="00682D7B">
              <w:rPr>
                <w:color w:val="auto"/>
              </w:rPr>
              <w:t xml:space="preserve"> in</w:t>
            </w:r>
            <w:proofErr w:type="gramEnd"/>
            <w:r w:rsidR="00682D7B">
              <w:rPr>
                <w:color w:val="auto"/>
              </w:rPr>
              <w:t xml:space="preserve"> the future within</w:t>
            </w:r>
            <w:r w:rsidR="00B6317E">
              <w:rPr>
                <w:color w:val="auto"/>
              </w:rPr>
              <w:t xml:space="preserve"> </w:t>
            </w:r>
            <w:r w:rsidR="00D10AA9">
              <w:rPr>
                <w:color w:val="auto"/>
              </w:rPr>
              <w:t>the service</w:t>
            </w:r>
            <w:r w:rsidR="00682D7B">
              <w:rPr>
                <w:color w:val="auto"/>
              </w:rPr>
              <w:t xml:space="preserve"> to support the PCREF</w:t>
            </w:r>
            <w:r w:rsidR="00D10AA9">
              <w:rPr>
                <w:color w:val="auto"/>
              </w:rPr>
              <w:t xml:space="preserve"> and to ensure that equality impact assessments are carried out in the planning, delivery and potential decommissioning of services. </w:t>
            </w:r>
          </w:p>
          <w:p w14:paraId="0F745180" w14:textId="1750175D" w:rsidR="006C1B7D" w:rsidRDefault="53398476" w:rsidP="0001382D">
            <w:pPr>
              <w:spacing w:after="120"/>
              <w:rPr>
                <w:rFonts w:eastAsia="Times New Roman" w:cs="Times New Roman"/>
                <w:color w:val="auto"/>
                <w:lang w:eastAsia="en-GB"/>
              </w:rPr>
            </w:pPr>
            <w:r w:rsidRPr="6DD6594B">
              <w:rPr>
                <w:color w:val="auto"/>
              </w:rPr>
              <w:t>L</w:t>
            </w:r>
            <w:r w:rsidR="006C1B7D" w:rsidRPr="6DD6594B">
              <w:rPr>
                <w:color w:val="auto"/>
              </w:rPr>
              <w:t xml:space="preserve">ast year the Trust focused </w:t>
            </w:r>
            <w:r w:rsidR="00A34F3C" w:rsidRPr="6DD6594B">
              <w:rPr>
                <w:color w:val="auto"/>
              </w:rPr>
              <w:t>the EDS22 assessment the</w:t>
            </w:r>
            <w:r w:rsidR="006C1B7D" w:rsidRPr="6DD6594B">
              <w:rPr>
                <w:color w:val="auto"/>
              </w:rPr>
              <w:t xml:space="preserve"> Physical Health and Wellbeing Service which provides physical health checks and support for service users with SMI. Over the last year the team have been working on their 2025 action plan which included introducing </w:t>
            </w:r>
            <w:r w:rsidR="00A34F3C" w:rsidRPr="6DD6594B">
              <w:rPr>
                <w:rFonts w:eastAsia="Times New Roman" w:cs="Times New Roman"/>
                <w:color w:val="auto"/>
                <w:lang w:eastAsia="en-GB"/>
              </w:rPr>
              <w:t>home visits for individuals who may face barriers attending clinic-based appointments and flexible options for blood testing, tailoring the approach to suit individual preferences and clinical requirements, further enhancing the personalised nature of the service. Working with the CMHT’s this has supported service users to engage and improve their physical health.</w:t>
            </w:r>
          </w:p>
          <w:p w14:paraId="1FA3CF81" w14:textId="77777777" w:rsidR="00F859F0" w:rsidRDefault="00C76568" w:rsidP="00D75D1E">
            <w:pPr>
              <w:jc w:val="both"/>
              <w:rPr>
                <w:rFonts w:eastAsia="Times New Roman" w:cs="Times New Roman"/>
                <w:lang w:eastAsia="en-GB"/>
              </w:rPr>
            </w:pPr>
            <w:r>
              <w:rPr>
                <w:rFonts w:eastAsia="Times New Roman" w:cs="Times New Roman"/>
                <w:lang w:eastAsia="en-GB"/>
              </w:rPr>
              <w:t xml:space="preserve">The Trust has committed to developing consistent </w:t>
            </w:r>
            <w:proofErr w:type="spellStart"/>
            <w:r>
              <w:rPr>
                <w:rFonts w:eastAsia="Times New Roman" w:cs="Times New Roman"/>
                <w:lang w:eastAsia="en-GB"/>
              </w:rPr>
              <w:t>neuroaffirmative</w:t>
            </w:r>
            <w:proofErr w:type="spellEnd"/>
            <w:r>
              <w:rPr>
                <w:rFonts w:eastAsia="Times New Roman" w:cs="Times New Roman"/>
                <w:lang w:eastAsia="en-GB"/>
              </w:rPr>
              <w:t xml:space="preserve"> practice approach and has established a Task Group to develop a strategic intent for this work. There is much good practice delivered within teams which will be collected and shared as resources across CMHT’s. </w:t>
            </w:r>
            <w:r w:rsidR="00D75D1E">
              <w:rPr>
                <w:rFonts w:eastAsia="Times New Roman" w:cs="Times New Roman"/>
                <w:lang w:eastAsia="en-GB"/>
              </w:rPr>
              <w:t xml:space="preserve">An example of this work is the sensory checklist </w:t>
            </w:r>
            <w:r w:rsidR="00D75D1E" w:rsidRPr="00D75D1E">
              <w:rPr>
                <w:rFonts w:eastAsia="Times New Roman" w:cs="Times New Roman"/>
                <w:lang w:eastAsia="en-GB"/>
              </w:rPr>
              <w:t xml:space="preserve">coproduced to reduce barriers to inclusion for people in therapy. </w:t>
            </w:r>
            <w:r w:rsidR="00D75D1E">
              <w:rPr>
                <w:rFonts w:eastAsia="Times New Roman" w:cs="Times New Roman"/>
                <w:lang w:eastAsia="en-GB"/>
              </w:rPr>
              <w:t>These tools were</w:t>
            </w:r>
            <w:r w:rsidR="00D75D1E" w:rsidRPr="00D75D1E">
              <w:rPr>
                <w:rFonts w:eastAsia="Times New Roman" w:cs="Times New Roman"/>
                <w:lang w:eastAsia="en-GB"/>
              </w:rPr>
              <w:t xml:space="preserve"> pilot</w:t>
            </w:r>
            <w:r w:rsidR="00D75D1E">
              <w:rPr>
                <w:rFonts w:eastAsia="Times New Roman" w:cs="Times New Roman"/>
                <w:lang w:eastAsia="en-GB"/>
              </w:rPr>
              <w:t>ed</w:t>
            </w:r>
            <w:r w:rsidR="00D75D1E" w:rsidRPr="00D75D1E">
              <w:rPr>
                <w:rFonts w:eastAsia="Times New Roman" w:cs="Times New Roman"/>
                <w:lang w:eastAsia="en-GB"/>
              </w:rPr>
              <w:t xml:space="preserve"> for three months in CMHT alongside</w:t>
            </w:r>
            <w:r w:rsidR="00D75D1E">
              <w:rPr>
                <w:rFonts w:eastAsia="Times New Roman" w:cs="Times New Roman"/>
                <w:lang w:eastAsia="en-GB"/>
              </w:rPr>
              <w:t xml:space="preserve"> the</w:t>
            </w:r>
            <w:r w:rsidR="00D75D1E" w:rsidRPr="00D75D1E">
              <w:rPr>
                <w:rFonts w:eastAsia="Times New Roman" w:cs="Times New Roman"/>
                <w:lang w:eastAsia="en-GB"/>
              </w:rPr>
              <w:t xml:space="preserve"> co-produced therapy agreement.</w:t>
            </w:r>
          </w:p>
          <w:p w14:paraId="71B60F3F" w14:textId="77777777" w:rsidR="00F859F0" w:rsidRDefault="00F859F0" w:rsidP="00D75D1E">
            <w:pPr>
              <w:jc w:val="both"/>
              <w:rPr>
                <w:rFonts w:eastAsia="Times New Roman" w:cs="Times New Roman"/>
                <w:lang w:eastAsia="en-GB"/>
              </w:rPr>
            </w:pPr>
          </w:p>
          <w:p w14:paraId="24BD02B6" w14:textId="3610EDCC" w:rsidR="006C1B7D" w:rsidRDefault="00F859F0" w:rsidP="00266AD7">
            <w:pPr>
              <w:jc w:val="both"/>
              <w:rPr>
                <w:rFonts w:eastAsia="Times New Roman" w:cs="Times New Roman"/>
                <w:lang w:eastAsia="en-GB"/>
              </w:rPr>
            </w:pPr>
            <w:r>
              <w:rPr>
                <w:rFonts w:eastAsia="Times New Roman" w:cs="Times New Roman"/>
                <w:lang w:eastAsia="en-GB"/>
              </w:rPr>
              <w:t xml:space="preserve">Training has been delivered with CMHT’s staff </w:t>
            </w:r>
            <w:r w:rsidR="00982060">
              <w:rPr>
                <w:rFonts w:eastAsia="Times New Roman" w:cs="Times New Roman"/>
                <w:lang w:eastAsia="en-GB"/>
              </w:rPr>
              <w:t xml:space="preserve">as part of the CMHT Transformation Programme </w:t>
            </w:r>
            <w:r>
              <w:rPr>
                <w:rFonts w:eastAsia="Times New Roman" w:cs="Times New Roman"/>
                <w:lang w:eastAsia="en-GB"/>
              </w:rPr>
              <w:t xml:space="preserve">during 2025 to provide opportunities for connection and exploration of culture and </w:t>
            </w:r>
            <w:r w:rsidR="00266AD7">
              <w:rPr>
                <w:rFonts w:eastAsia="Times New Roman" w:cs="Times New Roman"/>
                <w:lang w:eastAsia="en-GB"/>
              </w:rPr>
              <w:t>self-identity</w:t>
            </w:r>
            <w:r>
              <w:rPr>
                <w:rFonts w:eastAsia="Times New Roman" w:cs="Times New Roman"/>
                <w:lang w:eastAsia="en-GB"/>
              </w:rPr>
              <w:t xml:space="preserve">. This has been part of the Trusts Patient and Carer Race Equality Framework programme giving staff the chance to consider their culture, how culture shows up in </w:t>
            </w:r>
            <w:r w:rsidR="00477894">
              <w:rPr>
                <w:rFonts w:eastAsia="Times New Roman" w:cs="Times New Roman"/>
                <w:lang w:eastAsia="en-GB"/>
              </w:rPr>
              <w:t>day-to-day</w:t>
            </w:r>
            <w:r>
              <w:rPr>
                <w:rFonts w:eastAsia="Times New Roman" w:cs="Times New Roman"/>
                <w:lang w:eastAsia="en-GB"/>
              </w:rPr>
              <w:t xml:space="preserve"> work life for them, their colleagues, our patients and communities and what impacts that can have on engagement, experience and impact of our care from an equality perspective. </w:t>
            </w:r>
          </w:p>
          <w:p w14:paraId="4A00CE90" w14:textId="77777777" w:rsidR="00A43260" w:rsidRDefault="00A43260" w:rsidP="00266AD7">
            <w:pPr>
              <w:jc w:val="both"/>
              <w:rPr>
                <w:rFonts w:eastAsia="Times New Roman" w:cs="Times New Roman"/>
                <w:lang w:eastAsia="en-GB"/>
              </w:rPr>
            </w:pPr>
          </w:p>
          <w:p w14:paraId="3278CCFD" w14:textId="0C8E3708" w:rsidR="00A43260" w:rsidRDefault="00A43260" w:rsidP="00266AD7">
            <w:pPr>
              <w:jc w:val="both"/>
              <w:rPr>
                <w:rFonts w:eastAsia="Times New Roman" w:cs="Times New Roman"/>
                <w:lang w:eastAsia="en-GB"/>
              </w:rPr>
            </w:pPr>
            <w:r>
              <w:rPr>
                <w:rFonts w:eastAsia="Times New Roman" w:cs="Times New Roman"/>
                <w:lang w:eastAsia="en-GB"/>
              </w:rPr>
              <w:lastRenderedPageBreak/>
              <w:t xml:space="preserve">Chaplains are available to support staff and service users in the team. </w:t>
            </w:r>
            <w:r w:rsidR="00982060">
              <w:rPr>
                <w:rFonts w:eastAsia="Times New Roman" w:cs="Times New Roman"/>
                <w:lang w:eastAsia="en-GB"/>
              </w:rPr>
              <w:t xml:space="preserve">We have four chaplains working with our mental health services. There </w:t>
            </w:r>
            <w:proofErr w:type="gramStart"/>
            <w:r w:rsidR="00982060">
              <w:rPr>
                <w:rFonts w:eastAsia="Times New Roman" w:cs="Times New Roman"/>
                <w:lang w:eastAsia="en-GB"/>
              </w:rPr>
              <w:t>is</w:t>
            </w:r>
            <w:proofErr w:type="gramEnd"/>
            <w:r w:rsidR="00982060">
              <w:rPr>
                <w:rFonts w:eastAsia="Times New Roman" w:cs="Times New Roman"/>
                <w:lang w:eastAsia="en-GB"/>
              </w:rPr>
              <w:t xml:space="preserve"> a Spiritual and Pastoral Care Policy and a new Multi Faith Reference Group which has </w:t>
            </w:r>
            <w:r w:rsidR="00982060" w:rsidRPr="001E38A1">
              <w:rPr>
                <w:rFonts w:eastAsia="Times New Roman" w:cs="Times New Roman"/>
                <w:lang w:eastAsia="en-GB"/>
              </w:rPr>
              <w:t xml:space="preserve">CMHT staff </w:t>
            </w:r>
            <w:r w:rsidR="00082E6F">
              <w:rPr>
                <w:rFonts w:eastAsia="Times New Roman" w:cs="Times New Roman"/>
                <w:lang w:eastAsia="en-GB"/>
              </w:rPr>
              <w:t>in it. Members have contributed to the action plan to enhance and embed our Spiritual Care Action Plan.</w:t>
            </w:r>
            <w:r w:rsidR="00982060">
              <w:rPr>
                <w:rFonts w:eastAsia="Times New Roman" w:cs="Times New Roman"/>
                <w:lang w:eastAsia="en-GB"/>
              </w:rPr>
              <w:t xml:space="preserve"> </w:t>
            </w:r>
            <w:r w:rsidR="007164B7">
              <w:rPr>
                <w:rFonts w:eastAsia="Times New Roman" w:cs="Times New Roman"/>
                <w:lang w:eastAsia="en-GB"/>
              </w:rPr>
              <w:t xml:space="preserve">The team have made 14 referrals to the chaplaincy team during 2025. </w:t>
            </w:r>
            <w:r w:rsidR="00A804BB">
              <w:rPr>
                <w:rFonts w:eastAsia="Times New Roman" w:cs="Times New Roman"/>
                <w:lang w:eastAsia="en-GB"/>
              </w:rPr>
              <w:t xml:space="preserve">Training on accessing the team and spiritual care has been delivered to CMHT staff to increase referrals and use of the team. </w:t>
            </w:r>
            <w:r w:rsidR="00E118A6">
              <w:rPr>
                <w:rFonts w:eastAsia="Times New Roman" w:cs="Times New Roman"/>
                <w:lang w:eastAsia="en-GB"/>
              </w:rPr>
              <w:t>Themes of support have included intrusive thoughts experienced or expressed through a faith perspective</w:t>
            </w:r>
            <w:r w:rsidR="00F9189B">
              <w:rPr>
                <w:rFonts w:eastAsia="Times New Roman" w:cs="Times New Roman"/>
                <w:lang w:eastAsia="en-GB"/>
              </w:rPr>
              <w:t>, fears around</w:t>
            </w:r>
            <w:r w:rsidR="00D73360">
              <w:rPr>
                <w:rFonts w:eastAsia="Times New Roman" w:cs="Times New Roman"/>
                <w:lang w:eastAsia="en-GB"/>
              </w:rPr>
              <w:t xml:space="preserve"> </w:t>
            </w:r>
            <w:r w:rsidR="00796C63">
              <w:rPr>
                <w:rFonts w:eastAsia="Times New Roman" w:cs="Times New Roman"/>
                <w:lang w:eastAsia="en-GB"/>
              </w:rPr>
              <w:t xml:space="preserve">possession or evil making them ill or out of control, rituals including repeated need to wash, pray or say </w:t>
            </w:r>
            <w:r w:rsidR="00A93359">
              <w:rPr>
                <w:rFonts w:eastAsia="Times New Roman" w:cs="Times New Roman"/>
                <w:lang w:eastAsia="en-GB"/>
              </w:rPr>
              <w:t>words, a loss of faith of feeling of abandonment from faith.</w:t>
            </w:r>
            <w:r w:rsidR="00AC6CF2">
              <w:rPr>
                <w:rFonts w:eastAsia="Times New Roman" w:cs="Times New Roman"/>
                <w:lang w:eastAsia="en-GB"/>
              </w:rPr>
              <w:t xml:space="preserve"> The team support to reduce isolation, connecting people with faith support or general spiritual care</w:t>
            </w:r>
            <w:r w:rsidR="00A05823">
              <w:rPr>
                <w:rFonts w:eastAsia="Times New Roman" w:cs="Times New Roman"/>
                <w:lang w:eastAsia="en-GB"/>
              </w:rPr>
              <w:t xml:space="preserve">. The team feel they could do more in the </w:t>
            </w:r>
            <w:proofErr w:type="gramStart"/>
            <w:r w:rsidR="00A05823">
              <w:rPr>
                <w:rFonts w:eastAsia="Times New Roman" w:cs="Times New Roman"/>
                <w:lang w:eastAsia="en-GB"/>
              </w:rPr>
              <w:t>City</w:t>
            </w:r>
            <w:proofErr w:type="gramEnd"/>
            <w:r w:rsidR="00A05823">
              <w:rPr>
                <w:rFonts w:eastAsia="Times New Roman" w:cs="Times New Roman"/>
                <w:lang w:eastAsia="en-GB"/>
              </w:rPr>
              <w:t xml:space="preserve"> area if they targeted their support alongside spiritual care.</w:t>
            </w:r>
            <w:r w:rsidR="00D73360">
              <w:rPr>
                <w:rFonts w:eastAsia="Times New Roman" w:cs="Times New Roman"/>
                <w:lang w:eastAsia="en-GB"/>
              </w:rPr>
              <w:t xml:space="preserve"> </w:t>
            </w:r>
            <w:r w:rsidR="00F9189B">
              <w:rPr>
                <w:rFonts w:eastAsia="Times New Roman" w:cs="Times New Roman"/>
                <w:lang w:eastAsia="en-GB"/>
              </w:rPr>
              <w:t xml:space="preserve"> </w:t>
            </w:r>
          </w:p>
          <w:p w14:paraId="09BB7205" w14:textId="77777777" w:rsidR="00082E6F" w:rsidRDefault="00082E6F" w:rsidP="00266AD7">
            <w:pPr>
              <w:jc w:val="both"/>
              <w:rPr>
                <w:rFonts w:eastAsia="Times New Roman" w:cs="Times New Roman"/>
                <w:lang w:eastAsia="en-GB"/>
              </w:rPr>
            </w:pPr>
          </w:p>
          <w:p w14:paraId="3414B07F" w14:textId="3993A543" w:rsidR="00ED6459" w:rsidRDefault="00082E6F" w:rsidP="00ED6459">
            <w:pPr>
              <w:jc w:val="both"/>
              <w:rPr>
                <w:rFonts w:eastAsia="Times New Roman" w:cs="Times New Roman"/>
                <w:lang w:eastAsia="en-GB"/>
              </w:rPr>
            </w:pPr>
            <w:r>
              <w:rPr>
                <w:rFonts w:eastAsia="Times New Roman" w:cs="Times New Roman"/>
                <w:lang w:eastAsia="en-GB"/>
              </w:rPr>
              <w:t xml:space="preserve">CMHT’s work closely with VCS Mental Health Partners to support </w:t>
            </w:r>
            <w:r w:rsidR="00FE5733">
              <w:rPr>
                <w:rFonts w:eastAsia="Times New Roman" w:cs="Times New Roman"/>
                <w:lang w:eastAsia="en-GB"/>
              </w:rPr>
              <w:t>patients’</w:t>
            </w:r>
            <w:r>
              <w:rPr>
                <w:rFonts w:eastAsia="Times New Roman" w:cs="Times New Roman"/>
                <w:lang w:eastAsia="en-GB"/>
              </w:rPr>
              <w:t xml:space="preserve"> needs being met effectively. Examples of programmes include</w:t>
            </w:r>
            <w:r w:rsidR="00ED6459">
              <w:rPr>
                <w:rFonts w:eastAsia="Times New Roman" w:cs="Times New Roman"/>
                <w:lang w:eastAsia="en-GB"/>
              </w:rPr>
              <w:t xml:space="preserve"> </w:t>
            </w:r>
            <w:r w:rsidRPr="00ED6459">
              <w:rPr>
                <w:rFonts w:eastAsia="Times New Roman" w:cs="Times New Roman"/>
                <w:lang w:eastAsia="en-GB"/>
              </w:rPr>
              <w:t>SMI-LE (Serious Mental Illness Leadership and Engagement) in partnership with MIND in Bradford</w:t>
            </w:r>
            <w:r w:rsidR="00ED6459" w:rsidRPr="00ED6459">
              <w:rPr>
                <w:rFonts w:eastAsia="Times New Roman" w:cs="Times New Roman"/>
                <w:lang w:eastAsia="en-GB"/>
              </w:rPr>
              <w:t>, Horton Housing and Inspire Bradford</w:t>
            </w:r>
            <w:r w:rsidRPr="00ED6459">
              <w:rPr>
                <w:rFonts w:eastAsia="Times New Roman" w:cs="Times New Roman"/>
                <w:lang w:eastAsia="en-GB"/>
              </w:rPr>
              <w:t>.</w:t>
            </w:r>
            <w:r w:rsidR="00ED6459" w:rsidRPr="00ED6459">
              <w:rPr>
                <w:rFonts w:eastAsia="Times New Roman" w:cs="Times New Roman"/>
                <w:lang w:eastAsia="en-GB"/>
              </w:rPr>
              <w:t xml:space="preserve"> Service users can access, f</w:t>
            </w:r>
            <w:r w:rsidR="00ED6459" w:rsidRPr="00ED6459">
              <w:rPr>
                <w:rFonts w:eastAsia="Times New Roman"/>
                <w:lang w:eastAsia="en-GB"/>
              </w:rPr>
              <w:t>lexible one-to-one support based on need, mental health, social, or welfare needs. They can access</w:t>
            </w:r>
            <w:r w:rsidR="00ED6459" w:rsidRPr="00ED6459">
              <w:rPr>
                <w:rFonts w:eastAsia="Times New Roman" w:cs="Times New Roman"/>
                <w:lang w:eastAsia="en-GB"/>
              </w:rPr>
              <w:t xml:space="preserve"> peer support, signposting, social prescribing, short-term support with housing issues as well as identifying wider needs for example, employment, bereavement, benefit support, money management, safeguarding. The team offer cultural and geographically specific support.</w:t>
            </w:r>
          </w:p>
          <w:p w14:paraId="272B05BC" w14:textId="77777777" w:rsidR="00ED6459" w:rsidRDefault="00ED6459" w:rsidP="00ED6459">
            <w:pPr>
              <w:jc w:val="both"/>
              <w:rPr>
                <w:rFonts w:eastAsia="Times New Roman" w:cs="Times New Roman"/>
                <w:lang w:eastAsia="en-GB"/>
              </w:rPr>
            </w:pPr>
          </w:p>
          <w:p w14:paraId="0B1F641D" w14:textId="22CEF2E1" w:rsidR="00ED6459" w:rsidRDefault="00ED6459" w:rsidP="00ED6459">
            <w:pPr>
              <w:jc w:val="both"/>
              <w:rPr>
                <w:rFonts w:eastAsia="Times New Roman" w:cs="Times New Roman"/>
                <w:lang w:eastAsia="en-GB"/>
              </w:rPr>
            </w:pPr>
            <w:r>
              <w:rPr>
                <w:rFonts w:eastAsia="Times New Roman" w:cs="Times New Roman"/>
                <w:lang w:eastAsia="en-GB"/>
              </w:rPr>
              <w:t xml:space="preserve">As part of the Trusts commitment to the NHS Patient and Carer Race Equality Standard Hope and Light has been commissioned and established over the last year to provide a </w:t>
            </w:r>
            <w:r w:rsidRPr="00ED6459">
              <w:rPr>
                <w:rFonts w:eastAsia="Times New Roman" w:cs="Times New Roman"/>
                <w:lang w:eastAsia="en-GB"/>
              </w:rPr>
              <w:t>culturally responsive mental health programme supporting</w:t>
            </w:r>
            <w:r w:rsidRPr="00ED6459">
              <w:rPr>
                <w:rFonts w:eastAsia="Times New Roman" w:cs="Times New Roman"/>
                <w:b/>
                <w:bCs/>
                <w:lang w:eastAsia="en-GB"/>
              </w:rPr>
              <w:t> </w:t>
            </w:r>
            <w:r w:rsidRPr="00ED6459">
              <w:rPr>
                <w:rFonts w:eastAsia="Times New Roman" w:cs="Times New Roman"/>
                <w:lang w:eastAsia="en-GB"/>
              </w:rPr>
              <w:t>Black African, Black Caribbean, Central and Eastern European (including Roma), and South Asian communities across Bradford District and Craven.</w:t>
            </w:r>
            <w:r w:rsidRPr="00ED6459">
              <w:rPr>
                <w:rFonts w:eastAsia="Times New Roman" w:cs="Times New Roman"/>
                <w:b/>
                <w:bCs/>
                <w:lang w:eastAsia="en-GB"/>
              </w:rPr>
              <w:t> </w:t>
            </w:r>
            <w:r w:rsidRPr="00ED6459">
              <w:rPr>
                <w:rFonts w:eastAsia="Times New Roman" w:cs="Times New Roman"/>
                <w:lang w:eastAsia="en-GB"/>
              </w:rPr>
              <w:t>The programme is built on lived experience, cultural understanding, and community collaboration to ensure services are inclusive, accessible, and meaningful. Services include:</w:t>
            </w:r>
          </w:p>
          <w:p w14:paraId="44C9F45D" w14:textId="77777777" w:rsidR="00DF69B1" w:rsidRPr="00ED6459" w:rsidRDefault="00DF69B1" w:rsidP="00ED6459">
            <w:pPr>
              <w:jc w:val="both"/>
              <w:rPr>
                <w:rFonts w:eastAsia="Times New Roman" w:cs="Times New Roman"/>
                <w:lang w:eastAsia="en-GB"/>
              </w:rPr>
            </w:pPr>
          </w:p>
          <w:p w14:paraId="4E50560B" w14:textId="4AEBCB19" w:rsidR="00ED6459" w:rsidRPr="00ED6459" w:rsidRDefault="00ED6459" w:rsidP="00ED6459">
            <w:pPr>
              <w:numPr>
                <w:ilvl w:val="0"/>
                <w:numId w:val="50"/>
              </w:numPr>
              <w:jc w:val="both"/>
              <w:rPr>
                <w:rFonts w:eastAsia="Times New Roman" w:cs="Times New Roman"/>
                <w:lang w:eastAsia="en-GB"/>
              </w:rPr>
            </w:pPr>
            <w:r w:rsidRPr="00ED6459">
              <w:rPr>
                <w:rFonts w:eastAsia="Times New Roman" w:cs="Times New Roman"/>
                <w:lang w:eastAsia="en-GB"/>
              </w:rPr>
              <w:t>Peer support groups and healing circles</w:t>
            </w:r>
            <w:r w:rsidR="00DF69B1">
              <w:rPr>
                <w:rFonts w:eastAsia="Times New Roman" w:cs="Times New Roman"/>
                <w:lang w:eastAsia="en-GB"/>
              </w:rPr>
              <w:t>.</w:t>
            </w:r>
          </w:p>
          <w:p w14:paraId="7B01D5F5" w14:textId="52DB5E24" w:rsidR="00ED6459" w:rsidRPr="00ED6459" w:rsidRDefault="00ED6459" w:rsidP="00ED6459">
            <w:pPr>
              <w:numPr>
                <w:ilvl w:val="0"/>
                <w:numId w:val="50"/>
              </w:numPr>
              <w:jc w:val="both"/>
              <w:rPr>
                <w:rFonts w:eastAsia="Times New Roman" w:cs="Times New Roman"/>
                <w:lang w:eastAsia="en-GB"/>
              </w:rPr>
            </w:pPr>
            <w:r w:rsidRPr="00ED6459">
              <w:rPr>
                <w:rFonts w:eastAsia="Times New Roman" w:cs="Times New Roman"/>
                <w:lang w:eastAsia="en-GB"/>
              </w:rPr>
              <w:t>One-to-one culturally sensitive support</w:t>
            </w:r>
            <w:r w:rsidR="00DF69B1">
              <w:rPr>
                <w:rFonts w:eastAsia="Times New Roman" w:cs="Times New Roman"/>
                <w:lang w:eastAsia="en-GB"/>
              </w:rPr>
              <w:t>.</w:t>
            </w:r>
          </w:p>
          <w:p w14:paraId="107A22C6" w14:textId="44B75FAC" w:rsidR="00ED6459" w:rsidRPr="00ED6459" w:rsidRDefault="00ED6459" w:rsidP="00ED6459">
            <w:pPr>
              <w:numPr>
                <w:ilvl w:val="0"/>
                <w:numId w:val="50"/>
              </w:numPr>
              <w:jc w:val="both"/>
              <w:rPr>
                <w:rFonts w:eastAsia="Times New Roman" w:cs="Times New Roman"/>
                <w:lang w:eastAsia="en-GB"/>
              </w:rPr>
            </w:pPr>
            <w:proofErr w:type="spellStart"/>
            <w:r w:rsidRPr="00ED6459">
              <w:rPr>
                <w:rFonts w:eastAsia="Times New Roman" w:cs="Times New Roman"/>
                <w:lang w:eastAsia="en-GB"/>
              </w:rPr>
              <w:t>Inreach</w:t>
            </w:r>
            <w:proofErr w:type="spellEnd"/>
            <w:r w:rsidRPr="00ED6459">
              <w:rPr>
                <w:rFonts w:eastAsia="Times New Roman" w:cs="Times New Roman"/>
                <w:lang w:eastAsia="en-GB"/>
              </w:rPr>
              <w:t xml:space="preserve"> support for individuals transitioning out of inpatient care (hospital referrals only)</w:t>
            </w:r>
            <w:r w:rsidR="00DF69B1">
              <w:rPr>
                <w:rFonts w:eastAsia="Times New Roman" w:cs="Times New Roman"/>
                <w:lang w:eastAsia="en-GB"/>
              </w:rPr>
              <w:t>.</w:t>
            </w:r>
          </w:p>
          <w:p w14:paraId="3894C8B1" w14:textId="49DE2618" w:rsidR="00ED6459" w:rsidRPr="00ED6459" w:rsidRDefault="00ED6459" w:rsidP="00ED6459">
            <w:pPr>
              <w:numPr>
                <w:ilvl w:val="0"/>
                <w:numId w:val="50"/>
              </w:numPr>
              <w:jc w:val="both"/>
              <w:rPr>
                <w:rFonts w:eastAsia="Times New Roman" w:cs="Times New Roman"/>
                <w:lang w:eastAsia="en-GB"/>
              </w:rPr>
            </w:pPr>
            <w:r w:rsidRPr="00ED6459">
              <w:rPr>
                <w:rFonts w:eastAsia="Times New Roman" w:cs="Times New Roman"/>
                <w:lang w:eastAsia="en-GB"/>
              </w:rPr>
              <w:t>Community-based wellbeing activities and workshops</w:t>
            </w:r>
            <w:r w:rsidR="00DF69B1">
              <w:rPr>
                <w:rFonts w:eastAsia="Times New Roman" w:cs="Times New Roman"/>
                <w:lang w:eastAsia="en-GB"/>
              </w:rPr>
              <w:t>.</w:t>
            </w:r>
          </w:p>
          <w:p w14:paraId="3EE40212" w14:textId="6A685409" w:rsidR="00ED6459" w:rsidRPr="00ED6459" w:rsidRDefault="00ED6459" w:rsidP="00ED6459">
            <w:pPr>
              <w:numPr>
                <w:ilvl w:val="0"/>
                <w:numId w:val="50"/>
              </w:numPr>
              <w:jc w:val="both"/>
              <w:rPr>
                <w:rFonts w:eastAsia="Times New Roman" w:cs="Times New Roman"/>
                <w:lang w:eastAsia="en-GB"/>
              </w:rPr>
            </w:pPr>
            <w:r w:rsidRPr="00ED6459">
              <w:rPr>
                <w:rFonts w:eastAsia="Times New Roman" w:cs="Times New Roman"/>
                <w:lang w:eastAsia="en-GB"/>
              </w:rPr>
              <w:t>Separate and mixed gender support for men, women, carers and LGBTQ+ individuals</w:t>
            </w:r>
            <w:r w:rsidR="00DF69B1">
              <w:rPr>
                <w:rFonts w:eastAsia="Times New Roman" w:cs="Times New Roman"/>
                <w:lang w:eastAsia="en-GB"/>
              </w:rPr>
              <w:t>.</w:t>
            </w:r>
          </w:p>
          <w:p w14:paraId="0C4CF5E3" w14:textId="3F6CDDFF" w:rsidR="00ED6459" w:rsidRDefault="00ED6459" w:rsidP="00ED6459">
            <w:pPr>
              <w:numPr>
                <w:ilvl w:val="0"/>
                <w:numId w:val="50"/>
              </w:numPr>
              <w:jc w:val="both"/>
              <w:rPr>
                <w:rFonts w:eastAsia="Times New Roman" w:cs="Times New Roman"/>
                <w:lang w:eastAsia="en-GB"/>
              </w:rPr>
            </w:pPr>
            <w:r w:rsidRPr="00ED6459">
              <w:rPr>
                <w:rFonts w:eastAsia="Times New Roman" w:cs="Times New Roman"/>
                <w:lang w:eastAsia="en-GB"/>
              </w:rPr>
              <w:t>Faith-informed services, including Islamic Psychology-based healing circles and the B-AM programme</w:t>
            </w:r>
            <w:r w:rsidR="00DF69B1">
              <w:rPr>
                <w:rFonts w:eastAsia="Times New Roman" w:cs="Times New Roman"/>
                <w:lang w:eastAsia="en-GB"/>
              </w:rPr>
              <w:t>.</w:t>
            </w:r>
          </w:p>
          <w:p w14:paraId="4C30493A" w14:textId="7F81AF7F" w:rsidR="00ED6459" w:rsidRPr="00ED6459" w:rsidRDefault="00ED6459" w:rsidP="00ED6459">
            <w:pPr>
              <w:ind w:left="720"/>
              <w:jc w:val="both"/>
              <w:rPr>
                <w:rFonts w:eastAsia="Times New Roman" w:cs="Times New Roman"/>
                <w:lang w:eastAsia="en-GB"/>
              </w:rPr>
            </w:pPr>
            <w:r w:rsidRPr="00ED6459">
              <w:rPr>
                <w:rFonts w:eastAsia="Times New Roman" w:cs="Times New Roman"/>
                <w:lang w:eastAsia="en-GB"/>
              </w:rPr>
              <w:t> </w:t>
            </w:r>
          </w:p>
          <w:p w14:paraId="5D530CEC" w14:textId="7C191091" w:rsidR="00ED6459" w:rsidRPr="00ED6459" w:rsidRDefault="00ED6459" w:rsidP="00ED6459">
            <w:pPr>
              <w:jc w:val="both"/>
              <w:rPr>
                <w:rFonts w:eastAsia="Times New Roman" w:cs="Times New Roman"/>
                <w:lang w:eastAsia="en-GB"/>
              </w:rPr>
            </w:pPr>
            <w:r>
              <w:rPr>
                <w:rFonts w:eastAsia="Times New Roman" w:cs="Times New Roman"/>
                <w:lang w:eastAsia="en-GB"/>
              </w:rPr>
              <w:lastRenderedPageBreak/>
              <w:t xml:space="preserve">The programme brings together </w:t>
            </w:r>
            <w:r w:rsidRPr="00ED6459">
              <w:rPr>
                <w:rFonts w:eastAsia="Times New Roman" w:cs="Times New Roman"/>
                <w:lang w:eastAsia="en-GB"/>
              </w:rPr>
              <w:t>delivery partners</w:t>
            </w:r>
            <w:r>
              <w:rPr>
                <w:rFonts w:eastAsia="Times New Roman" w:cs="Times New Roman"/>
                <w:lang w:eastAsia="en-GB"/>
              </w:rPr>
              <w:t xml:space="preserve"> from</w:t>
            </w:r>
            <w:r w:rsidRPr="00ED6459">
              <w:rPr>
                <w:rFonts w:eastAsia="Times New Roman" w:cs="Times New Roman"/>
                <w:lang w:eastAsia="en-GB"/>
              </w:rPr>
              <w:t> Bradford District and Craven Mind, Connecting Roma, African Caribbean Achievement Project (ACAP), European Drom, The Girlington Centre, Ihsaan, Inspired Neighbourhoods, Roshni Ghar, Staying Put, </w:t>
            </w:r>
            <w:proofErr w:type="spellStart"/>
            <w:r w:rsidRPr="00ED6459">
              <w:rPr>
                <w:rFonts w:eastAsia="Times New Roman" w:cs="Times New Roman"/>
                <w:lang w:eastAsia="en-GB"/>
              </w:rPr>
              <w:t>WomenZone</w:t>
            </w:r>
            <w:proofErr w:type="spellEnd"/>
            <w:r w:rsidRPr="00ED6459">
              <w:rPr>
                <w:rFonts w:eastAsia="Times New Roman" w:cs="Times New Roman"/>
                <w:lang w:eastAsia="en-GB"/>
              </w:rPr>
              <w:t>, Yorkshire MESMAC</w:t>
            </w:r>
          </w:p>
        </w:tc>
      </w:tr>
      <w:tr w:rsidR="00717B61" w:rsidRPr="00717B61" w14:paraId="293C83EF" w14:textId="337D0E3B" w:rsidTr="4B7E6360">
        <w:trPr>
          <w:cnfStyle w:val="000000100000" w:firstRow="0" w:lastRow="0" w:firstColumn="0" w:lastColumn="0" w:oddVBand="0" w:evenVBand="0" w:oddHBand="1" w:evenHBand="0" w:firstRowFirstColumn="0" w:firstRowLastColumn="0" w:lastRowFirstColumn="0" w:lastRowLastColumn="0"/>
        </w:trPr>
        <w:tc>
          <w:tcPr>
            <w:tcW w:w="11757" w:type="dxa"/>
            <w:tcBorders>
              <w:top w:val="single" w:sz="4" w:space="0" w:color="auto"/>
              <w:left w:val="single" w:sz="4" w:space="0" w:color="auto"/>
              <w:bottom w:val="single" w:sz="4" w:space="0" w:color="auto"/>
              <w:right w:val="single" w:sz="4" w:space="0" w:color="auto"/>
            </w:tcBorders>
            <w:shd w:val="clear" w:color="auto" w:fill="005EB8"/>
          </w:tcPr>
          <w:p w14:paraId="0AACFB97" w14:textId="723DC8F0" w:rsidR="006934AF" w:rsidRPr="00717B61" w:rsidRDefault="006934AF" w:rsidP="0001382D">
            <w:pPr>
              <w:spacing w:after="120"/>
              <w:rPr>
                <w:b/>
                <w:bCs/>
                <w:color w:val="FFFFFF" w:themeColor="background1"/>
              </w:rPr>
            </w:pPr>
            <w:r w:rsidRPr="00717B61">
              <w:rPr>
                <w:rFonts w:cs="Arial"/>
                <w:b/>
                <w:bCs/>
                <w:color w:val="FFFFFF" w:themeColor="background1"/>
              </w:rPr>
              <w:lastRenderedPageBreak/>
              <w:t>Outcome 1C: When patients (service users) use the service, they are free from harm</w:t>
            </w:r>
          </w:p>
        </w:tc>
        <w:tc>
          <w:tcPr>
            <w:tcW w:w="2186" w:type="dxa"/>
            <w:tcBorders>
              <w:top w:val="single" w:sz="4" w:space="0" w:color="auto"/>
              <w:left w:val="single" w:sz="4" w:space="0" w:color="auto"/>
              <w:bottom w:val="single" w:sz="4" w:space="0" w:color="auto"/>
              <w:right w:val="single" w:sz="4" w:space="0" w:color="auto"/>
            </w:tcBorders>
            <w:shd w:val="clear" w:color="auto" w:fill="005EB8"/>
          </w:tcPr>
          <w:p w14:paraId="5F97AE2C" w14:textId="460FE547" w:rsidR="006934AF" w:rsidRPr="00717B61" w:rsidRDefault="006934AF" w:rsidP="0001382D">
            <w:pPr>
              <w:spacing w:after="120"/>
              <w:rPr>
                <w:rFonts w:cs="Arial"/>
                <w:b/>
                <w:bCs/>
                <w:color w:val="FFFFFF" w:themeColor="background1"/>
              </w:rPr>
            </w:pPr>
            <w:r w:rsidRPr="00717B61">
              <w:rPr>
                <w:rFonts w:cs="Arial"/>
                <w:b/>
                <w:bCs/>
                <w:color w:val="FFFFFF" w:themeColor="background1"/>
              </w:rPr>
              <w:t xml:space="preserve">Score: </w:t>
            </w:r>
            <w:r w:rsidR="00C017AF">
              <w:rPr>
                <w:rFonts w:cs="Arial"/>
                <w:b/>
                <w:bCs/>
                <w:color w:val="FFFFFF" w:themeColor="background1"/>
              </w:rPr>
              <w:t>2</w:t>
            </w:r>
          </w:p>
        </w:tc>
      </w:tr>
      <w:tr w:rsidR="00717B61" w:rsidRPr="00717B61" w14:paraId="4067B5E2" w14:textId="5901A56D" w:rsidTr="4B7E6360">
        <w:tc>
          <w:tcPr>
            <w:tcW w:w="13943" w:type="dxa"/>
            <w:gridSpan w:val="2"/>
          </w:tcPr>
          <w:p w14:paraId="44E8ECB6" w14:textId="1C7B9B61" w:rsidR="009C6706" w:rsidRPr="009C6706" w:rsidRDefault="006934AF" w:rsidP="0001382D">
            <w:pPr>
              <w:spacing w:after="120"/>
              <w:rPr>
                <w:b/>
                <w:bCs/>
                <w:color w:val="auto"/>
              </w:rPr>
            </w:pPr>
            <w:r w:rsidRPr="00717B61">
              <w:rPr>
                <w:b/>
                <w:bCs/>
                <w:color w:val="auto"/>
              </w:rPr>
              <w:t>Evidence:</w:t>
            </w:r>
          </w:p>
          <w:p w14:paraId="622FACE1" w14:textId="3346CF95" w:rsidR="00833E4A" w:rsidRDefault="00833E4A" w:rsidP="00833E4A">
            <w:pPr>
              <w:spacing w:after="120" w:line="278" w:lineRule="auto"/>
              <w:rPr>
                <w:color w:val="auto"/>
              </w:rPr>
            </w:pPr>
            <w:r w:rsidRPr="00833E4A">
              <w:rPr>
                <w:color w:val="auto"/>
              </w:rPr>
              <w:t>Over the past year, 22 patient safety incidents were reported. Analysis of the ethnicity data for these incidents shows that 54.5% of reports did not state ethnicity, 18.2% were Asian or Asian British, 13.6% were Black or Black British, 9.1% were White, and 4.5% were Mixed.</w:t>
            </w:r>
            <w:r>
              <w:rPr>
                <w:color w:val="auto"/>
              </w:rPr>
              <w:t xml:space="preserve"> </w:t>
            </w:r>
            <w:r w:rsidRPr="00833E4A">
              <w:rPr>
                <w:color w:val="auto"/>
              </w:rPr>
              <w:t>The most common types of patient safety incidents were related to confidentiality and records (27.3%), followed by medication incidents or errors (22.7%). These findings</w:t>
            </w:r>
            <w:r w:rsidR="00243BB0">
              <w:rPr>
                <w:color w:val="auto"/>
              </w:rPr>
              <w:t xml:space="preserve"> have meant</w:t>
            </w:r>
            <w:r w:rsidRPr="00833E4A">
              <w:rPr>
                <w:color w:val="auto"/>
              </w:rPr>
              <w:t xml:space="preserve"> that information governance and medication safety remain priority areas, with a focus on reducing risk and strengthening processes.</w:t>
            </w:r>
          </w:p>
          <w:p w14:paraId="0F82E469" w14:textId="4AC23628" w:rsidR="00266AD7" w:rsidRDefault="00266AD7" w:rsidP="00266AD7">
            <w:pPr>
              <w:spacing w:after="120" w:line="278" w:lineRule="auto"/>
              <w:rPr>
                <w:color w:val="auto"/>
              </w:rPr>
            </w:pPr>
            <w:r>
              <w:rPr>
                <w:color w:val="auto"/>
              </w:rPr>
              <w:t xml:space="preserve">The Incident System includes options for staff to report incidents relating to EDI, racial abuse, sexual safety and interpreting. These EDI metrics are analysed weekly with support offered to staff affected and management teams dealing with incident hotspots. There was one incident reported using the EDI Checkbox during 2025. There </w:t>
            </w:r>
            <w:proofErr w:type="gramStart"/>
            <w:r w:rsidR="00243BB0">
              <w:rPr>
                <w:color w:val="auto"/>
              </w:rPr>
              <w:t>w</w:t>
            </w:r>
            <w:r w:rsidR="00B6520E">
              <w:rPr>
                <w:color w:val="auto"/>
              </w:rPr>
              <w:t>ere</w:t>
            </w:r>
            <w:proofErr w:type="gramEnd"/>
            <w:r>
              <w:rPr>
                <w:color w:val="auto"/>
              </w:rPr>
              <w:t xml:space="preserve"> no interpreting incidents reported during January to July 31</w:t>
            </w:r>
            <w:r w:rsidRPr="00266AD7">
              <w:rPr>
                <w:color w:val="auto"/>
                <w:vertAlign w:val="superscript"/>
              </w:rPr>
              <w:t>st</w:t>
            </w:r>
            <w:proofErr w:type="gramStart"/>
            <w:r>
              <w:rPr>
                <w:color w:val="auto"/>
              </w:rPr>
              <w:t xml:space="preserve"> 2025</w:t>
            </w:r>
            <w:proofErr w:type="gramEnd"/>
            <w:r>
              <w:rPr>
                <w:color w:val="auto"/>
              </w:rPr>
              <w:t xml:space="preserve">. </w:t>
            </w:r>
            <w:r w:rsidR="00461096">
              <w:rPr>
                <w:color w:val="auto"/>
              </w:rPr>
              <w:t xml:space="preserve">Within City CMHT, 5 incidents of physical violence or aggression where staff were affected and &lt;5 were reported where service users were affected </w:t>
            </w:r>
            <w:r w:rsidR="00013D35">
              <w:rPr>
                <w:color w:val="auto"/>
              </w:rPr>
              <w:t xml:space="preserve">were reported </w:t>
            </w:r>
            <w:r w:rsidR="00461096">
              <w:rPr>
                <w:color w:val="auto"/>
              </w:rPr>
              <w:t xml:space="preserve">over the last year (October 2024 – October 2025), </w:t>
            </w:r>
            <w:r w:rsidR="00013D35">
              <w:rPr>
                <w:color w:val="auto"/>
              </w:rPr>
              <w:t>n</w:t>
            </w:r>
            <w:r w:rsidR="007801B9">
              <w:rPr>
                <w:color w:val="auto"/>
              </w:rPr>
              <w:t xml:space="preserve">o incidents </w:t>
            </w:r>
            <w:r w:rsidR="00013D35">
              <w:rPr>
                <w:color w:val="auto"/>
              </w:rPr>
              <w:t xml:space="preserve">of City CMHT </w:t>
            </w:r>
            <w:r w:rsidR="00461096">
              <w:rPr>
                <w:color w:val="auto"/>
              </w:rPr>
              <w:t>staff or service users being affected by verbal</w:t>
            </w:r>
            <w:r w:rsidR="007801B9">
              <w:rPr>
                <w:color w:val="auto"/>
              </w:rPr>
              <w:t xml:space="preserve"> </w:t>
            </w:r>
            <w:r w:rsidR="00461096">
              <w:rPr>
                <w:color w:val="auto"/>
              </w:rPr>
              <w:t>or racial abuse during the period</w:t>
            </w:r>
            <w:r w:rsidR="00013D35">
              <w:rPr>
                <w:color w:val="auto"/>
              </w:rPr>
              <w:t xml:space="preserve"> were reported</w:t>
            </w:r>
            <w:r w:rsidR="00461096">
              <w:rPr>
                <w:color w:val="auto"/>
              </w:rPr>
              <w:t xml:space="preserve">. </w:t>
            </w:r>
            <w:r w:rsidR="007801B9">
              <w:rPr>
                <w:color w:val="auto"/>
              </w:rPr>
              <w:t xml:space="preserve">&lt;5 incidents were reported where a member of staff was affected by sexual harassment. </w:t>
            </w:r>
            <w:r w:rsidR="00B6520E">
              <w:rPr>
                <w:color w:val="auto"/>
              </w:rPr>
              <w:t xml:space="preserve">There was a feeling that incidents of racial abuse to staff from patients have increased. </w:t>
            </w:r>
            <w:r w:rsidR="00404967">
              <w:rPr>
                <w:color w:val="auto"/>
              </w:rPr>
              <w:t xml:space="preserve">There was potential that this was due to a focus on zero tolerance and reporting but this needs to be investigated. The abuse has been </w:t>
            </w:r>
            <w:r w:rsidR="002D6865">
              <w:rPr>
                <w:color w:val="auto"/>
              </w:rPr>
              <w:t xml:space="preserve">from ethnically diverse patients to White staff and from White service users to ethnically diverse staff. </w:t>
            </w:r>
            <w:r w:rsidR="00F27B9B">
              <w:rPr>
                <w:color w:val="auto"/>
              </w:rPr>
              <w:t xml:space="preserve">The therapy team had offered spaces to reflect on this and international events that were affected the team </w:t>
            </w:r>
            <w:proofErr w:type="gramStart"/>
            <w:r w:rsidR="00F27B9B">
              <w:rPr>
                <w:color w:val="auto"/>
              </w:rPr>
              <w:t>and also</w:t>
            </w:r>
            <w:proofErr w:type="gramEnd"/>
            <w:r w:rsidR="00F27B9B">
              <w:rPr>
                <w:color w:val="auto"/>
              </w:rPr>
              <w:t xml:space="preserve"> service users and the community. </w:t>
            </w:r>
            <w:r w:rsidR="007801B9">
              <w:rPr>
                <w:color w:val="auto"/>
              </w:rPr>
              <w:t xml:space="preserve">The Trust has Managing Racial and Other Types of Abuse from Patients and the Public Policy and a Sexual Safety Policy both of which have associated training and </w:t>
            </w:r>
            <w:r w:rsidR="00013D35">
              <w:rPr>
                <w:color w:val="auto"/>
              </w:rPr>
              <w:t xml:space="preserve">staff intranet </w:t>
            </w:r>
            <w:r w:rsidR="007801B9">
              <w:rPr>
                <w:color w:val="auto"/>
              </w:rPr>
              <w:t>support</w:t>
            </w:r>
            <w:r w:rsidR="00013D35">
              <w:rPr>
                <w:color w:val="auto"/>
              </w:rPr>
              <w:t xml:space="preserve"> repositories linked to them</w:t>
            </w:r>
            <w:r w:rsidR="007801B9">
              <w:rPr>
                <w:color w:val="auto"/>
              </w:rPr>
              <w:t>.</w:t>
            </w:r>
          </w:p>
          <w:p w14:paraId="2F341F77" w14:textId="5F8BC2FD" w:rsidR="006F6217" w:rsidRPr="0001057A" w:rsidRDefault="00A43260" w:rsidP="0001382D">
            <w:pPr>
              <w:spacing w:after="120" w:line="278" w:lineRule="auto"/>
              <w:rPr>
                <w:color w:val="auto"/>
              </w:rPr>
            </w:pPr>
            <w:r w:rsidRPr="4B7E6360">
              <w:rPr>
                <w:color w:val="auto"/>
              </w:rPr>
              <w:lastRenderedPageBreak/>
              <w:t xml:space="preserve">The service has health and safety, personal safety and risk assessment processes and procedures in place to safeguard patient and staff. </w:t>
            </w:r>
            <w:r w:rsidR="00E32507">
              <w:rPr>
                <w:color w:val="auto"/>
              </w:rPr>
              <w:t xml:space="preserve">These processes are within the Standard Operating Procedures. These are regularly reviewed and communicated. </w:t>
            </w:r>
          </w:p>
        </w:tc>
      </w:tr>
      <w:tr w:rsidR="00717B61" w:rsidRPr="00717B61" w14:paraId="2DA85E60" w14:textId="4CF94B27" w:rsidTr="4B7E6360">
        <w:trPr>
          <w:cnfStyle w:val="000000100000" w:firstRow="0" w:lastRow="0" w:firstColumn="0" w:lastColumn="0" w:oddVBand="0" w:evenVBand="0" w:oddHBand="1" w:evenHBand="0" w:firstRowFirstColumn="0" w:firstRowLastColumn="0" w:lastRowFirstColumn="0" w:lastRowLastColumn="0"/>
        </w:trPr>
        <w:tc>
          <w:tcPr>
            <w:tcW w:w="11757" w:type="dxa"/>
            <w:tcBorders>
              <w:top w:val="single" w:sz="4" w:space="0" w:color="auto"/>
              <w:left w:val="single" w:sz="4" w:space="0" w:color="auto"/>
              <w:bottom w:val="single" w:sz="4" w:space="0" w:color="auto"/>
              <w:right w:val="single" w:sz="4" w:space="0" w:color="auto"/>
            </w:tcBorders>
            <w:shd w:val="clear" w:color="auto" w:fill="005EB8"/>
          </w:tcPr>
          <w:p w14:paraId="40CA5840" w14:textId="501C90AC" w:rsidR="006934AF" w:rsidRPr="00717B61" w:rsidRDefault="006934AF" w:rsidP="0001382D">
            <w:pPr>
              <w:spacing w:after="120"/>
              <w:rPr>
                <w:b/>
                <w:bCs/>
                <w:color w:val="FFFFFF" w:themeColor="background1"/>
              </w:rPr>
            </w:pPr>
            <w:r w:rsidRPr="00717B61">
              <w:rPr>
                <w:rFonts w:cs="Arial"/>
                <w:b/>
                <w:bCs/>
                <w:color w:val="FFFFFF" w:themeColor="background1"/>
              </w:rPr>
              <w:lastRenderedPageBreak/>
              <w:t>Outcome 1D: Patients (service users) report positive experiences of the service</w:t>
            </w:r>
          </w:p>
        </w:tc>
        <w:tc>
          <w:tcPr>
            <w:tcW w:w="2186" w:type="dxa"/>
            <w:tcBorders>
              <w:top w:val="single" w:sz="4" w:space="0" w:color="auto"/>
              <w:left w:val="single" w:sz="4" w:space="0" w:color="auto"/>
              <w:bottom w:val="single" w:sz="4" w:space="0" w:color="auto"/>
              <w:right w:val="single" w:sz="4" w:space="0" w:color="auto"/>
            </w:tcBorders>
            <w:shd w:val="clear" w:color="auto" w:fill="005EB8"/>
          </w:tcPr>
          <w:p w14:paraId="12C4EA57" w14:textId="388943BD" w:rsidR="006934AF" w:rsidRPr="00717B61" w:rsidRDefault="006934AF" w:rsidP="0001382D">
            <w:pPr>
              <w:spacing w:after="120"/>
              <w:rPr>
                <w:rFonts w:cs="Arial"/>
                <w:b/>
                <w:bCs/>
                <w:color w:val="FFFFFF" w:themeColor="background1"/>
              </w:rPr>
            </w:pPr>
            <w:r w:rsidRPr="00717B61">
              <w:rPr>
                <w:rFonts w:cs="Arial"/>
                <w:b/>
                <w:bCs/>
                <w:color w:val="FFFFFF" w:themeColor="background1"/>
              </w:rPr>
              <w:t xml:space="preserve">Score: </w:t>
            </w:r>
            <w:r w:rsidR="003E05B2">
              <w:rPr>
                <w:rFonts w:cs="Arial"/>
                <w:b/>
                <w:bCs/>
                <w:color w:val="FFFFFF" w:themeColor="background1"/>
              </w:rPr>
              <w:t>3</w:t>
            </w:r>
          </w:p>
        </w:tc>
      </w:tr>
      <w:tr w:rsidR="00717B61" w:rsidRPr="00717B61" w14:paraId="26E5740E" w14:textId="275ED6E9" w:rsidTr="4B7E6360">
        <w:tc>
          <w:tcPr>
            <w:tcW w:w="13943" w:type="dxa"/>
            <w:gridSpan w:val="2"/>
          </w:tcPr>
          <w:p w14:paraId="4F0AF499" w14:textId="7E6E1B36" w:rsidR="00BE0A4E" w:rsidRDefault="006934AF" w:rsidP="0001382D">
            <w:pPr>
              <w:spacing w:after="120"/>
              <w:rPr>
                <w:b/>
                <w:bCs/>
                <w:color w:val="auto"/>
              </w:rPr>
            </w:pPr>
            <w:r w:rsidRPr="00717B61">
              <w:rPr>
                <w:b/>
                <w:bCs/>
                <w:color w:val="auto"/>
              </w:rPr>
              <w:t>Evidence:</w:t>
            </w:r>
          </w:p>
          <w:p w14:paraId="3A747FC1" w14:textId="08D09857" w:rsidR="007661A4" w:rsidRDefault="007661A4" w:rsidP="0001382D">
            <w:pPr>
              <w:spacing w:after="120" w:line="278" w:lineRule="auto"/>
              <w:rPr>
                <w:color w:val="auto"/>
              </w:rPr>
            </w:pPr>
            <w:r>
              <w:rPr>
                <w:color w:val="auto"/>
              </w:rPr>
              <w:t xml:space="preserve">Between April to September 2025 the team </w:t>
            </w:r>
            <w:r w:rsidR="002353D5">
              <w:rPr>
                <w:color w:val="auto"/>
              </w:rPr>
              <w:t xml:space="preserve">received 178 responses to the Friends and Family Test (FFT). </w:t>
            </w:r>
            <w:r w:rsidR="002353D5" w:rsidRPr="002353D5">
              <w:rPr>
                <w:color w:val="auto"/>
              </w:rPr>
              <w:t>74.</w:t>
            </w:r>
            <w:r w:rsidR="002353D5">
              <w:rPr>
                <w:color w:val="auto"/>
              </w:rPr>
              <w:t xml:space="preserve">2% responded saying the service was either ‘good’ or ‘very good’, while </w:t>
            </w:r>
            <w:r w:rsidR="002353D5" w:rsidRPr="002353D5">
              <w:rPr>
                <w:color w:val="auto"/>
              </w:rPr>
              <w:t>15.7</w:t>
            </w:r>
            <w:r w:rsidR="002353D5">
              <w:rPr>
                <w:color w:val="auto"/>
              </w:rPr>
              <w:t xml:space="preserve">% responded ‘poor’ or ‘very poor’. </w:t>
            </w:r>
            <w:r w:rsidR="006742B7">
              <w:rPr>
                <w:color w:val="auto"/>
              </w:rPr>
              <w:t>Over 100</w:t>
            </w:r>
            <w:r w:rsidR="002353D5" w:rsidRPr="002353D5">
              <w:rPr>
                <w:color w:val="auto"/>
              </w:rPr>
              <w:t xml:space="preserve"> respondents praised staff for being compassionate, respectful, and attentive. </w:t>
            </w:r>
            <w:r w:rsidR="006742B7">
              <w:rPr>
                <w:color w:val="auto"/>
              </w:rPr>
              <w:t>Around 90 s</w:t>
            </w:r>
            <w:r w:rsidR="002353D5" w:rsidRPr="002353D5">
              <w:rPr>
                <w:color w:val="auto"/>
              </w:rPr>
              <w:t xml:space="preserve">ervice users </w:t>
            </w:r>
            <w:r w:rsidR="006742B7">
              <w:rPr>
                <w:color w:val="auto"/>
              </w:rPr>
              <w:t xml:space="preserve">reported </w:t>
            </w:r>
            <w:r w:rsidR="002353D5" w:rsidRPr="002353D5">
              <w:rPr>
                <w:color w:val="auto"/>
              </w:rPr>
              <w:t>fe</w:t>
            </w:r>
            <w:r w:rsidR="006742B7">
              <w:rPr>
                <w:color w:val="auto"/>
              </w:rPr>
              <w:t>eling</w:t>
            </w:r>
            <w:r w:rsidR="002353D5" w:rsidRPr="002353D5">
              <w:rPr>
                <w:color w:val="auto"/>
              </w:rPr>
              <w:t xml:space="preserve"> listened to, empowered and well-supported in their recovery journeys, with some attributing life-changing improvements to the care received. </w:t>
            </w:r>
            <w:r w:rsidR="006742B7">
              <w:rPr>
                <w:color w:val="auto"/>
              </w:rPr>
              <w:t>Approximately 10 respondents highlighted c</w:t>
            </w:r>
            <w:r w:rsidR="002353D5" w:rsidRPr="002353D5">
              <w:rPr>
                <w:color w:val="auto"/>
              </w:rPr>
              <w:t>ultural sensitivity and holistic approaches.</w:t>
            </w:r>
            <w:r w:rsidR="002353D5">
              <w:rPr>
                <w:color w:val="auto"/>
              </w:rPr>
              <w:t xml:space="preserve"> </w:t>
            </w:r>
            <w:r w:rsidR="006742B7">
              <w:rPr>
                <w:color w:val="auto"/>
              </w:rPr>
              <w:t>Around eight respondents</w:t>
            </w:r>
            <w:r w:rsidR="002353D5" w:rsidRPr="002353D5">
              <w:rPr>
                <w:color w:val="auto"/>
              </w:rPr>
              <w:t xml:space="preserve"> expressed dissatisfaction with medication management, lack of continuity </w:t>
            </w:r>
            <w:r w:rsidR="006742B7">
              <w:rPr>
                <w:color w:val="auto"/>
              </w:rPr>
              <w:t>and/or</w:t>
            </w:r>
            <w:r w:rsidR="002353D5" w:rsidRPr="002353D5">
              <w:rPr>
                <w:color w:val="auto"/>
              </w:rPr>
              <w:t xml:space="preserve"> dismissive attitudes. </w:t>
            </w:r>
            <w:r w:rsidR="006742B7">
              <w:rPr>
                <w:color w:val="auto"/>
              </w:rPr>
              <w:t>Five respondents</w:t>
            </w:r>
            <w:r w:rsidR="002353D5" w:rsidRPr="002353D5">
              <w:rPr>
                <w:color w:val="auto"/>
              </w:rPr>
              <w:t xml:space="preserve"> felt unsupported during crises, with safeguarding concerns and poor communication cited.</w:t>
            </w:r>
            <w:r w:rsidR="002353D5">
              <w:rPr>
                <w:color w:val="auto"/>
              </w:rPr>
              <w:t xml:space="preserve"> Although the FFT captures details on peoples protected characteristics, it is currently unable to provide reports on this. </w:t>
            </w:r>
          </w:p>
          <w:p w14:paraId="56426609" w14:textId="676E4CE2" w:rsidR="00E539AD" w:rsidRDefault="00E539AD" w:rsidP="00E539AD">
            <w:pPr>
              <w:spacing w:after="120"/>
              <w:rPr>
                <w:color w:val="auto"/>
              </w:rPr>
            </w:pPr>
            <w:r>
              <w:rPr>
                <w:color w:val="auto"/>
              </w:rPr>
              <w:t>The team received thirteen formal complaints over the past year.</w:t>
            </w:r>
            <w:r w:rsidR="00282D6F">
              <w:rPr>
                <w:color w:val="auto"/>
              </w:rPr>
              <w:t xml:space="preserve"> Of the thirteen complaints, 8 did not have the </w:t>
            </w:r>
            <w:proofErr w:type="gramStart"/>
            <w:r w:rsidR="00282D6F">
              <w:rPr>
                <w:color w:val="auto"/>
              </w:rPr>
              <w:t>complainants</w:t>
            </w:r>
            <w:proofErr w:type="gramEnd"/>
            <w:r w:rsidR="00282D6F">
              <w:rPr>
                <w:color w:val="auto"/>
              </w:rPr>
              <w:t xml:space="preserve"> ethnicity recorded, 3 were white and two were mixed ethnicity.</w:t>
            </w:r>
            <w:r w:rsidR="00AE33D3">
              <w:rPr>
                <w:color w:val="auto"/>
              </w:rPr>
              <w:t xml:space="preserve"> Learning complaints is reported and shared. </w:t>
            </w:r>
          </w:p>
          <w:p w14:paraId="5252C08A" w14:textId="002D242B" w:rsidR="00F46606" w:rsidRDefault="00F46606" w:rsidP="4B7E6360">
            <w:pPr>
              <w:spacing w:after="120"/>
              <w:rPr>
                <w:color w:val="auto"/>
              </w:rPr>
            </w:pPr>
            <w:r w:rsidRPr="4B7E6360">
              <w:rPr>
                <w:color w:val="auto"/>
              </w:rPr>
              <w:t xml:space="preserve">The Trust is developing an Ethnical Fellowship Programme for Involvement as part of the NHS Patient and Carer Race Equality Framework. The programme will be piloted in three mental health services in 2026. </w:t>
            </w:r>
          </w:p>
          <w:p w14:paraId="191BE479" w14:textId="1C59CA24" w:rsidR="00204B9A" w:rsidRDefault="00F92AE7" w:rsidP="4B7E6360">
            <w:pPr>
              <w:spacing w:after="120"/>
              <w:rPr>
                <w:color w:val="auto"/>
              </w:rPr>
            </w:pPr>
            <w:r>
              <w:rPr>
                <w:color w:val="auto"/>
              </w:rPr>
              <w:t>I</w:t>
            </w:r>
            <w:r w:rsidR="00AB6E4F">
              <w:rPr>
                <w:color w:val="auto"/>
              </w:rPr>
              <w:t xml:space="preserve">ncidents, complaints and patient feedback </w:t>
            </w:r>
            <w:r>
              <w:rPr>
                <w:color w:val="auto"/>
              </w:rPr>
              <w:t>are responded to promptly and there were examples of medics providing training and workshops to the team</w:t>
            </w:r>
            <w:r w:rsidR="00337BC5">
              <w:rPr>
                <w:color w:val="auto"/>
              </w:rPr>
              <w:t xml:space="preserve"> around cultural competence, spirituality and mental health</w:t>
            </w:r>
            <w:r w:rsidR="00C54D33">
              <w:rPr>
                <w:color w:val="auto"/>
              </w:rPr>
              <w:t xml:space="preserve"> and psychosis and attachment. The therapy team are proactive and very responsive in supporting the whole team to meet community need. </w:t>
            </w:r>
            <w:r w:rsidR="00335AA4">
              <w:rPr>
                <w:color w:val="auto"/>
              </w:rPr>
              <w:t xml:space="preserve">The team have also reached out to VCS experts for training in response to feedback for example relating to LGBT communities and mental health. </w:t>
            </w:r>
          </w:p>
          <w:p w14:paraId="781FADCC" w14:textId="2B149F26" w:rsidR="00000D28" w:rsidRPr="00717B61" w:rsidRDefault="00000D28" w:rsidP="4B7E6360">
            <w:pPr>
              <w:spacing w:after="120"/>
              <w:rPr>
                <w:color w:val="auto"/>
              </w:rPr>
            </w:pPr>
            <w:r>
              <w:rPr>
                <w:color w:val="auto"/>
              </w:rPr>
              <w:t xml:space="preserve">There were examples shared of patients requesting a change of care coordinator or specific equality groups </w:t>
            </w:r>
            <w:r w:rsidR="00E16592">
              <w:rPr>
                <w:color w:val="auto"/>
              </w:rPr>
              <w:t xml:space="preserve">(faith and gender) </w:t>
            </w:r>
            <w:r>
              <w:rPr>
                <w:color w:val="auto"/>
              </w:rPr>
              <w:t>which were a challenge to manage.</w:t>
            </w:r>
            <w:r w:rsidR="00C2612A">
              <w:rPr>
                <w:color w:val="auto"/>
              </w:rPr>
              <w:t xml:space="preserve"> This was a demonstration of personal choice straying into potential</w:t>
            </w:r>
            <w:r w:rsidR="00E133C3">
              <w:rPr>
                <w:color w:val="auto"/>
              </w:rPr>
              <w:t xml:space="preserve"> </w:t>
            </w:r>
            <w:r w:rsidR="00E16592">
              <w:rPr>
                <w:color w:val="auto"/>
              </w:rPr>
              <w:t xml:space="preserve">patients </w:t>
            </w:r>
            <w:r w:rsidR="00E133C3">
              <w:rPr>
                <w:color w:val="auto"/>
              </w:rPr>
              <w:t xml:space="preserve">bias and questioning of staff abilities due to their background which would be a breach of the Trusts </w:t>
            </w:r>
            <w:r w:rsidR="00E16592">
              <w:rPr>
                <w:color w:val="auto"/>
              </w:rPr>
              <w:t xml:space="preserve">equality policies. </w:t>
            </w:r>
            <w:r w:rsidR="001554DB">
              <w:rPr>
                <w:color w:val="auto"/>
              </w:rPr>
              <w:t>The team consider the rationale for the request or feedback, investigate any concerns raised</w:t>
            </w:r>
            <w:r w:rsidR="009D4A97">
              <w:rPr>
                <w:color w:val="auto"/>
              </w:rPr>
              <w:t xml:space="preserve">. If the request is reasonable and not founded on bias or discrimination they are considered. </w:t>
            </w:r>
            <w:r w:rsidR="00FC1D26">
              <w:rPr>
                <w:color w:val="auto"/>
              </w:rPr>
              <w:t xml:space="preserve">If </w:t>
            </w:r>
            <w:proofErr w:type="gramStart"/>
            <w:r w:rsidR="00FC1D26">
              <w:rPr>
                <w:color w:val="auto"/>
              </w:rPr>
              <w:t>not</w:t>
            </w:r>
            <w:proofErr w:type="gramEnd"/>
            <w:r w:rsidR="00FC1D26">
              <w:rPr>
                <w:color w:val="auto"/>
              </w:rPr>
              <w:t xml:space="preserve"> feedback would be given that no change would be made. There were examples of </w:t>
            </w:r>
            <w:r w:rsidR="00FC1D26">
              <w:rPr>
                <w:color w:val="auto"/>
              </w:rPr>
              <w:lastRenderedPageBreak/>
              <w:t xml:space="preserve">therapists offering mediation in these cases for the service user and </w:t>
            </w:r>
            <w:r w:rsidR="003E4DDD">
              <w:rPr>
                <w:color w:val="auto"/>
              </w:rPr>
              <w:t xml:space="preserve">care coordinator to support ongoing connection. </w:t>
            </w:r>
            <w:r w:rsidR="00483211">
              <w:rPr>
                <w:color w:val="auto"/>
              </w:rPr>
              <w:t xml:space="preserve">The team shared that they would like more support in knowing how to escalate concerns around service user behaviour when it is discriminatory. They regularly send letters as per the managing discrimination </w:t>
            </w:r>
            <w:proofErr w:type="gramStart"/>
            <w:r w:rsidR="00483211">
              <w:rPr>
                <w:color w:val="auto"/>
              </w:rPr>
              <w:t>policy</w:t>
            </w:r>
            <w:proofErr w:type="gramEnd"/>
            <w:r w:rsidR="00483211">
              <w:rPr>
                <w:color w:val="auto"/>
              </w:rPr>
              <w:t xml:space="preserve"> but this does not always address the behaviour so </w:t>
            </w:r>
            <w:r w:rsidR="003D0812">
              <w:rPr>
                <w:color w:val="auto"/>
              </w:rPr>
              <w:t xml:space="preserve">would like support to agree </w:t>
            </w:r>
            <w:r w:rsidR="00483211">
              <w:rPr>
                <w:color w:val="auto"/>
              </w:rPr>
              <w:t>what comes next</w:t>
            </w:r>
            <w:r w:rsidR="003D0812">
              <w:rPr>
                <w:color w:val="auto"/>
              </w:rPr>
              <w:t xml:space="preserve">. </w:t>
            </w:r>
          </w:p>
          <w:p w14:paraId="7C67712C" w14:textId="65009C3C" w:rsidR="00F46606" w:rsidRPr="00717B61" w:rsidRDefault="5B69F11A" w:rsidP="00E539AD">
            <w:pPr>
              <w:spacing w:after="120"/>
              <w:rPr>
                <w:color w:val="auto"/>
              </w:rPr>
            </w:pPr>
            <w:r w:rsidRPr="4B7E6360">
              <w:rPr>
                <w:color w:val="auto"/>
              </w:rPr>
              <w:t>The team are addressing health inequalities in collaboration with partners from the VCFS. This includes system wide projects that are community based alongside Inspired Neighbourhoods, Mind and the Cellar T</w:t>
            </w:r>
            <w:r w:rsidR="0D17C8F4" w:rsidRPr="4B7E6360">
              <w:rPr>
                <w:color w:val="auto"/>
              </w:rPr>
              <w:t>rust. These engage with a wide community network of grassroots local organi</w:t>
            </w:r>
            <w:r w:rsidR="00923FC6">
              <w:rPr>
                <w:color w:val="auto"/>
              </w:rPr>
              <w:t>s</w:t>
            </w:r>
            <w:r w:rsidR="0D17C8F4" w:rsidRPr="4B7E6360">
              <w:rPr>
                <w:color w:val="auto"/>
              </w:rPr>
              <w:t xml:space="preserve">ations with reach into communities. </w:t>
            </w:r>
            <w:r w:rsidR="006D095F">
              <w:rPr>
                <w:color w:val="auto"/>
              </w:rPr>
              <w:t xml:space="preserve">The team described </w:t>
            </w:r>
            <w:r w:rsidR="00710B4A">
              <w:rPr>
                <w:color w:val="auto"/>
              </w:rPr>
              <w:t>advocating</w:t>
            </w:r>
            <w:r w:rsidR="00923FC6">
              <w:rPr>
                <w:color w:val="auto"/>
              </w:rPr>
              <w:t>,</w:t>
            </w:r>
            <w:r w:rsidR="00710B4A">
              <w:rPr>
                <w:color w:val="auto"/>
              </w:rPr>
              <w:t xml:space="preserve"> influencing</w:t>
            </w:r>
            <w:r w:rsidR="00923FC6">
              <w:rPr>
                <w:color w:val="auto"/>
              </w:rPr>
              <w:t xml:space="preserve"> and raising awareness</w:t>
            </w:r>
            <w:r w:rsidR="00710B4A">
              <w:rPr>
                <w:color w:val="auto"/>
              </w:rPr>
              <w:t xml:space="preserve"> for service users and mental health</w:t>
            </w:r>
            <w:r w:rsidR="008F57E5">
              <w:rPr>
                <w:color w:val="auto"/>
              </w:rPr>
              <w:t xml:space="preserve"> generally</w:t>
            </w:r>
            <w:r w:rsidR="00710B4A">
              <w:rPr>
                <w:color w:val="auto"/>
              </w:rPr>
              <w:t xml:space="preserve"> with other agencies, particularly housing, GP</w:t>
            </w:r>
            <w:r w:rsidR="00121905">
              <w:rPr>
                <w:color w:val="auto"/>
              </w:rPr>
              <w:t>’s and physical health, within benefit systems</w:t>
            </w:r>
            <w:r w:rsidR="008F57E5">
              <w:rPr>
                <w:color w:val="auto"/>
              </w:rPr>
              <w:t xml:space="preserve"> and employment. They felt that when someone is in mental health services </w:t>
            </w:r>
            <w:r w:rsidR="00011264">
              <w:rPr>
                <w:color w:val="auto"/>
              </w:rPr>
              <w:t xml:space="preserve">they could be judged on </w:t>
            </w:r>
            <w:proofErr w:type="gramStart"/>
            <w:r w:rsidR="00011264">
              <w:rPr>
                <w:color w:val="auto"/>
              </w:rPr>
              <w:t>that</w:t>
            </w:r>
            <w:proofErr w:type="gramEnd"/>
            <w:r w:rsidR="00011264">
              <w:rPr>
                <w:color w:val="auto"/>
              </w:rPr>
              <w:t xml:space="preserve"> and agencies might expect mental health services to provide additional support needed to access and navigate their systems. </w:t>
            </w:r>
            <w:r w:rsidR="00F21321">
              <w:rPr>
                <w:color w:val="auto"/>
              </w:rPr>
              <w:t>The team take a lot of time referring service users to local advocacy services to support this.</w:t>
            </w:r>
            <w:r w:rsidR="00E1007F">
              <w:rPr>
                <w:color w:val="auto"/>
              </w:rPr>
              <w:t xml:space="preserve"> It was felt that the way advocacy providers work has changed in the last five years moving to goal orientated provision</w:t>
            </w:r>
            <w:r w:rsidR="00C16B85">
              <w:rPr>
                <w:color w:val="auto"/>
              </w:rPr>
              <w:t>.</w:t>
            </w:r>
            <w:r w:rsidR="00121905">
              <w:rPr>
                <w:color w:val="auto"/>
              </w:rPr>
              <w:t xml:space="preserve"> </w:t>
            </w:r>
            <w:r w:rsidR="0028061C">
              <w:rPr>
                <w:color w:val="auto"/>
              </w:rPr>
              <w:t xml:space="preserve">Housing, employment, income and physical health are wider determinants of physical </w:t>
            </w:r>
            <w:proofErr w:type="gramStart"/>
            <w:r w:rsidR="0028061C">
              <w:rPr>
                <w:color w:val="auto"/>
              </w:rPr>
              <w:t>health</w:t>
            </w:r>
            <w:proofErr w:type="gramEnd"/>
            <w:r w:rsidR="0028061C">
              <w:rPr>
                <w:color w:val="auto"/>
              </w:rPr>
              <w:t xml:space="preserve"> and the team felt </w:t>
            </w:r>
            <w:r w:rsidR="00407E8F">
              <w:rPr>
                <w:color w:val="auto"/>
              </w:rPr>
              <w:t xml:space="preserve">mental health training and consideration should be given </w:t>
            </w:r>
            <w:r w:rsidR="00113CEB">
              <w:rPr>
                <w:color w:val="auto"/>
              </w:rPr>
              <w:t>in</w:t>
            </w:r>
            <w:r w:rsidR="00407E8F">
              <w:rPr>
                <w:color w:val="auto"/>
              </w:rPr>
              <w:t xml:space="preserve"> all agencies</w:t>
            </w:r>
            <w:r w:rsidR="00113CEB">
              <w:rPr>
                <w:color w:val="auto"/>
              </w:rPr>
              <w:t xml:space="preserve"> to address mental health inequalities</w:t>
            </w:r>
            <w:r w:rsidR="00407E8F">
              <w:rPr>
                <w:color w:val="auto"/>
              </w:rPr>
              <w:t>. One staff member explained that mental health nurses have physical health training</w:t>
            </w:r>
            <w:r w:rsidR="008513AA">
              <w:rPr>
                <w:color w:val="auto"/>
              </w:rPr>
              <w:t xml:space="preserve"> as standard</w:t>
            </w:r>
            <w:r w:rsidR="00407E8F">
              <w:rPr>
                <w:color w:val="auto"/>
              </w:rPr>
              <w:t xml:space="preserve"> and</w:t>
            </w:r>
            <w:r w:rsidR="008513AA">
              <w:rPr>
                <w:color w:val="auto"/>
              </w:rPr>
              <w:t xml:space="preserve"> that </w:t>
            </w:r>
            <w:r w:rsidR="00D76551">
              <w:rPr>
                <w:color w:val="auto"/>
              </w:rPr>
              <w:t xml:space="preserve">mental health training should </w:t>
            </w:r>
            <w:r w:rsidR="00113CEB">
              <w:rPr>
                <w:color w:val="auto"/>
              </w:rPr>
              <w:t xml:space="preserve">also be given to non-mental health professionals. This will be picked up within the System Equalities Group. </w:t>
            </w:r>
            <w:r w:rsidR="00D76551">
              <w:rPr>
                <w:color w:val="auto"/>
              </w:rPr>
              <w:t xml:space="preserve"> </w:t>
            </w:r>
            <w:r w:rsidR="008513AA">
              <w:rPr>
                <w:color w:val="auto"/>
              </w:rPr>
              <w:t xml:space="preserve"> </w:t>
            </w:r>
          </w:p>
        </w:tc>
      </w:tr>
      <w:tr w:rsidR="00717B61" w:rsidRPr="00717B61" w14:paraId="119554A9" w14:textId="047E290F" w:rsidTr="4B7E6360">
        <w:trPr>
          <w:cnfStyle w:val="000000100000" w:firstRow="0" w:lastRow="0" w:firstColumn="0" w:lastColumn="0" w:oddVBand="0" w:evenVBand="0" w:oddHBand="1" w:evenHBand="0" w:firstRowFirstColumn="0" w:firstRowLastColumn="0" w:lastRowFirstColumn="0" w:lastRowLastColumn="0"/>
        </w:trPr>
        <w:tc>
          <w:tcPr>
            <w:tcW w:w="11757" w:type="dxa"/>
            <w:tcBorders>
              <w:top w:val="single" w:sz="4" w:space="0" w:color="auto"/>
              <w:left w:val="single" w:sz="4" w:space="0" w:color="auto"/>
              <w:bottom w:val="single" w:sz="4" w:space="0" w:color="auto"/>
              <w:right w:val="single" w:sz="4" w:space="0" w:color="auto"/>
            </w:tcBorders>
            <w:shd w:val="clear" w:color="auto" w:fill="005EB8"/>
          </w:tcPr>
          <w:p w14:paraId="1E6130AE" w14:textId="6905CE10" w:rsidR="006934AF" w:rsidRPr="00717B61" w:rsidRDefault="006934AF" w:rsidP="0001382D">
            <w:pPr>
              <w:spacing w:after="120"/>
              <w:rPr>
                <w:b/>
                <w:bCs/>
                <w:color w:val="FFFFFF" w:themeColor="background1"/>
              </w:rPr>
            </w:pPr>
            <w:r w:rsidRPr="00717B61">
              <w:rPr>
                <w:b/>
                <w:bCs/>
                <w:color w:val="FFFFFF" w:themeColor="background1"/>
              </w:rPr>
              <w:lastRenderedPageBreak/>
              <w:t xml:space="preserve">Domain 1 – </w:t>
            </w:r>
            <w:r w:rsidR="006308A9" w:rsidRPr="006308A9">
              <w:rPr>
                <w:b/>
                <w:bCs/>
                <w:color w:val="FFFFFF" w:themeColor="background1"/>
              </w:rPr>
              <w:t xml:space="preserve">City Community Mental Health Service </w:t>
            </w:r>
            <w:r w:rsidRPr="00717B61">
              <w:rPr>
                <w:b/>
                <w:bCs/>
                <w:color w:val="FFFFFF" w:themeColor="background1"/>
              </w:rPr>
              <w:t>Overall</w:t>
            </w:r>
          </w:p>
        </w:tc>
        <w:tc>
          <w:tcPr>
            <w:tcW w:w="2186" w:type="dxa"/>
            <w:tcBorders>
              <w:top w:val="single" w:sz="4" w:space="0" w:color="auto"/>
              <w:left w:val="single" w:sz="4" w:space="0" w:color="auto"/>
              <w:bottom w:val="single" w:sz="4" w:space="0" w:color="auto"/>
              <w:right w:val="single" w:sz="4" w:space="0" w:color="auto"/>
            </w:tcBorders>
            <w:shd w:val="clear" w:color="auto" w:fill="005EB8"/>
          </w:tcPr>
          <w:p w14:paraId="76F9CD95" w14:textId="5BC40455" w:rsidR="006934AF" w:rsidRPr="00717B61" w:rsidRDefault="006934AF" w:rsidP="0001382D">
            <w:pPr>
              <w:spacing w:after="120"/>
              <w:rPr>
                <w:b/>
                <w:bCs/>
                <w:color w:val="FFFFFF" w:themeColor="background1"/>
              </w:rPr>
            </w:pPr>
            <w:r w:rsidRPr="00717B61">
              <w:rPr>
                <w:b/>
                <w:bCs/>
                <w:color w:val="FFFFFF" w:themeColor="background1"/>
              </w:rPr>
              <w:t xml:space="preserve">Score: </w:t>
            </w:r>
            <w:r w:rsidR="00C65EB0">
              <w:rPr>
                <w:b/>
                <w:bCs/>
                <w:color w:val="FFFFFF" w:themeColor="background1"/>
              </w:rPr>
              <w:t>9</w:t>
            </w:r>
          </w:p>
        </w:tc>
      </w:tr>
    </w:tbl>
    <w:p w14:paraId="22A386F7" w14:textId="5EFA5FA4" w:rsidR="00761F36" w:rsidRDefault="00761F36" w:rsidP="0001382D">
      <w:pPr>
        <w:spacing w:after="120"/>
      </w:pPr>
    </w:p>
    <w:sectPr w:rsidR="00761F36" w:rsidSect="004E12DD">
      <w:headerReference w:type="even" r:id="rId16"/>
      <w:headerReference w:type="default" r:id="rId17"/>
      <w:footerReference w:type="even" r:id="rId18"/>
      <w:footerReference w:type="default" r:id="rId19"/>
      <w:headerReference w:type="first" r:id="rId20"/>
      <w:footerReference w:type="first" r:id="rId21"/>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74888" w14:textId="77777777" w:rsidR="00F92D5B" w:rsidRDefault="00F92D5B" w:rsidP="00857CEF">
      <w:r>
        <w:separator/>
      </w:r>
    </w:p>
  </w:endnote>
  <w:endnote w:type="continuationSeparator" w:id="0">
    <w:p w14:paraId="3BE3B6F9" w14:textId="77777777" w:rsidR="00F92D5B" w:rsidRDefault="00F92D5B" w:rsidP="00857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7EE0F" w14:textId="77777777" w:rsidR="009F277C" w:rsidRDefault="009F27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505EC" w14:textId="77777777" w:rsidR="009F277C" w:rsidRDefault="009F27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AAD50" w14:textId="77777777" w:rsidR="009F277C" w:rsidRDefault="009F27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40775" w14:textId="77777777" w:rsidR="00F92D5B" w:rsidRDefault="00F92D5B" w:rsidP="00857CEF">
      <w:r>
        <w:separator/>
      </w:r>
    </w:p>
  </w:footnote>
  <w:footnote w:type="continuationSeparator" w:id="0">
    <w:p w14:paraId="1C302B4F" w14:textId="77777777" w:rsidR="00F92D5B" w:rsidRDefault="00F92D5B" w:rsidP="00857CEF">
      <w:r>
        <w:continuationSeparator/>
      </w:r>
    </w:p>
  </w:footnote>
  <w:footnote w:id="1">
    <w:p w14:paraId="31C1E608" w14:textId="5B14D8EA" w:rsidR="00DD10A9" w:rsidRDefault="00DD10A9">
      <w:pPr>
        <w:pStyle w:val="FootnoteText"/>
      </w:pPr>
      <w:r>
        <w:rPr>
          <w:rStyle w:val="FootnoteReference"/>
        </w:rPr>
        <w:footnoteRef/>
      </w:r>
      <w:r>
        <w:t xml:space="preserve"> </w:t>
      </w:r>
      <w:hyperlink r:id="rId1" w:history="1">
        <w:r w:rsidRPr="00DD10A9">
          <w:rPr>
            <w:rStyle w:val="Hyperlink"/>
          </w:rPr>
          <w:t>2021-census-ward-level-data-for-population-ethnicity-religion-and-household-composition.pdf</w:t>
        </w:r>
      </w:hyperlink>
    </w:p>
  </w:footnote>
  <w:footnote w:id="2">
    <w:p w14:paraId="12AF2B3D" w14:textId="50F2412B" w:rsidR="00857CEF" w:rsidRDefault="00857CEF">
      <w:pPr>
        <w:pStyle w:val="FootnoteText"/>
      </w:pPr>
      <w:r>
        <w:rPr>
          <w:rStyle w:val="FootnoteReference"/>
        </w:rPr>
        <w:footnoteRef/>
      </w:r>
      <w:r>
        <w:t xml:space="preserve"> </w:t>
      </w:r>
      <w:hyperlink r:id="rId2" w:history="1">
        <w:r w:rsidRPr="00857CEF">
          <w:rPr>
            <w:rStyle w:val="Hyperlink"/>
          </w:rPr>
          <w:t>city-2024.pdf</w:t>
        </w:r>
      </w:hyperlink>
    </w:p>
  </w:footnote>
  <w:footnote w:id="3">
    <w:p w14:paraId="14A23974" w14:textId="4A7A3E9F" w:rsidR="00427CD7" w:rsidRDefault="00427CD7">
      <w:pPr>
        <w:pStyle w:val="FootnoteText"/>
      </w:pPr>
      <w:r>
        <w:rPr>
          <w:rStyle w:val="FootnoteReference"/>
        </w:rPr>
        <w:footnoteRef/>
      </w:r>
      <w:r>
        <w:t xml:space="preserve"> </w:t>
      </w:r>
      <w:hyperlink r:id="rId3" w:history="1">
        <w:r w:rsidRPr="00427CD7">
          <w:rPr>
            <w:rStyle w:val="Hyperlink"/>
          </w:rPr>
          <w:t>city-2024.pdf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C15C3" w14:textId="77777777" w:rsidR="009F277C" w:rsidRDefault="009F27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2871888"/>
      <w:docPartObj>
        <w:docPartGallery w:val="Watermarks"/>
        <w:docPartUnique/>
      </w:docPartObj>
    </w:sdtPr>
    <w:sdtEndPr/>
    <w:sdtContent>
      <w:p w14:paraId="19722D3C" w14:textId="191646BA" w:rsidR="009F277C" w:rsidRDefault="003F5B8E">
        <w:pPr>
          <w:pStyle w:val="Header"/>
        </w:pPr>
        <w:r>
          <w:rPr>
            <w:noProof/>
          </w:rPr>
          <w:pict w14:anchorId="10678D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BB374" w14:textId="77777777" w:rsidR="009F277C" w:rsidRDefault="009F27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7A0F7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D426D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D764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4ED5C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9056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2C04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268E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CCBE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49FCB0FC"/>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401981"/>
    <w:multiLevelType w:val="multilevel"/>
    <w:tmpl w:val="BFEEBD28"/>
    <w:name w:val="nhs_bodytext"/>
    <w:styleLink w:val="NHSBodyText"/>
    <w:lvl w:ilvl="0">
      <w:start w:val="1"/>
      <w:numFmt w:val="decimal"/>
      <w:pStyle w:val="BodyText2"/>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212109A"/>
    <w:multiLevelType w:val="hybridMultilevel"/>
    <w:tmpl w:val="2AE4EE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53B56E2"/>
    <w:multiLevelType w:val="hybridMultilevel"/>
    <w:tmpl w:val="897833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55C3EA4"/>
    <w:multiLevelType w:val="hybridMultilevel"/>
    <w:tmpl w:val="3ADA49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5E42033"/>
    <w:multiLevelType w:val="hybridMultilevel"/>
    <w:tmpl w:val="DCA2F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BF43BC3"/>
    <w:multiLevelType w:val="hybridMultilevel"/>
    <w:tmpl w:val="1F82113A"/>
    <w:lvl w:ilvl="0" w:tplc="B2E0F26A">
      <w:start w:val="1"/>
      <w:numFmt w:val="bullet"/>
      <w:lvlText w:val=""/>
      <w:lvlJc w:val="left"/>
      <w:pPr>
        <w:ind w:left="360" w:hanging="360"/>
      </w:pPr>
      <w:rPr>
        <w:rFonts w:ascii="Symbol" w:hAnsi="Symbol"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870B8B"/>
    <w:multiLevelType w:val="multilevel"/>
    <w:tmpl w:val="FE64C92E"/>
    <w:name w:val="nhs_headings"/>
    <w:styleLink w:val="NHSHeadings"/>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3B82E06"/>
    <w:multiLevelType w:val="multilevel"/>
    <w:tmpl w:val="3D08CF68"/>
    <w:name w:val="nhs_bullets"/>
    <w:styleLink w:val="NHSBullets"/>
    <w:lvl w:ilvl="0">
      <w:start w:val="1"/>
      <w:numFmt w:val="bullet"/>
      <w:pStyle w:val="ListBullet"/>
      <w:lvlText w:val=""/>
      <w:lvlJc w:val="left"/>
      <w:pPr>
        <w:tabs>
          <w:tab w:val="num" w:pos="567"/>
        </w:tabs>
        <w:ind w:left="851" w:hanging="284"/>
      </w:pPr>
      <w:rPr>
        <w:rFonts w:ascii="Symbol" w:hAnsi="Symbol" w:hint="default"/>
        <w:color w:val="005EB8"/>
      </w:rPr>
    </w:lvl>
    <w:lvl w:ilvl="1">
      <w:start w:val="1"/>
      <w:numFmt w:val="bullet"/>
      <w:pStyle w:val="ListBullet2"/>
      <w:lvlText w:val="‒"/>
      <w:lvlJc w:val="left"/>
      <w:pPr>
        <w:tabs>
          <w:tab w:val="num" w:pos="1134"/>
        </w:tabs>
        <w:ind w:left="1134" w:hanging="283"/>
      </w:pPr>
      <w:rPr>
        <w:rFonts w:ascii="Arial" w:hAnsi="Arial" w:hint="default"/>
        <w:color w:val="005EB8"/>
      </w:rPr>
    </w:lvl>
    <w:lvl w:ilvl="2">
      <w:start w:val="1"/>
      <w:numFmt w:val="bullet"/>
      <w:pStyle w:val="ListBullet3"/>
      <w:lvlText w:val=""/>
      <w:lvlJc w:val="left"/>
      <w:pPr>
        <w:tabs>
          <w:tab w:val="num" w:pos="1072"/>
        </w:tabs>
        <w:ind w:left="1043" w:hanging="329"/>
      </w:pPr>
      <w:rPr>
        <w:rFonts w:ascii="Symbol" w:hAnsi="Symbol" w:hint="default"/>
        <w:color w:val="auto"/>
      </w:rPr>
    </w:lvl>
    <w:lvl w:ilvl="3">
      <w:start w:val="1"/>
      <w:numFmt w:val="bullet"/>
      <w:pStyle w:val="ListBullet4"/>
      <w:lvlText w:val=""/>
      <w:lvlJc w:val="left"/>
      <w:pPr>
        <w:tabs>
          <w:tab w:val="num" w:pos="1429"/>
        </w:tabs>
        <w:ind w:left="1429" w:hanging="357"/>
      </w:pPr>
      <w:rPr>
        <w:rFonts w:ascii="Symbol" w:hAnsi="Symbol" w:hint="default"/>
        <w:color w:val="auto"/>
      </w:rPr>
    </w:lvl>
    <w:lvl w:ilvl="4">
      <w:start w:val="1"/>
      <w:numFmt w:val="bullet"/>
      <w:pStyle w:val="ListBullet5"/>
      <w:lvlText w:val=""/>
      <w:lvlJc w:val="left"/>
      <w:pPr>
        <w:tabs>
          <w:tab w:val="num" w:pos="1786"/>
        </w:tabs>
        <w:ind w:left="1786" w:hanging="357"/>
      </w:pPr>
      <w:rPr>
        <w:rFonts w:ascii="Symbol" w:hAnsi="Symbol" w:hint="default"/>
        <w:color w:val="auto"/>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C755E36"/>
    <w:multiLevelType w:val="hybridMultilevel"/>
    <w:tmpl w:val="DEB09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CEA7CB2"/>
    <w:multiLevelType w:val="hybridMultilevel"/>
    <w:tmpl w:val="281408D6"/>
    <w:lvl w:ilvl="0" w:tplc="5268CD28">
      <w:start w:val="1"/>
      <w:numFmt w:val="bullet"/>
      <w:lvlText w:val="•"/>
      <w:lvlJc w:val="left"/>
      <w:pPr>
        <w:tabs>
          <w:tab w:val="num" w:pos="360"/>
        </w:tabs>
        <w:ind w:left="360" w:hanging="360"/>
      </w:pPr>
      <w:rPr>
        <w:rFonts w:ascii="Arial" w:hAnsi="Arial" w:hint="default"/>
      </w:rPr>
    </w:lvl>
    <w:lvl w:ilvl="1" w:tplc="09020C24" w:tentative="1">
      <w:start w:val="1"/>
      <w:numFmt w:val="bullet"/>
      <w:lvlText w:val="•"/>
      <w:lvlJc w:val="left"/>
      <w:pPr>
        <w:tabs>
          <w:tab w:val="num" w:pos="1080"/>
        </w:tabs>
        <w:ind w:left="1080" w:hanging="360"/>
      </w:pPr>
      <w:rPr>
        <w:rFonts w:ascii="Arial" w:hAnsi="Arial" w:hint="default"/>
      </w:rPr>
    </w:lvl>
    <w:lvl w:ilvl="2" w:tplc="0748BCEE" w:tentative="1">
      <w:start w:val="1"/>
      <w:numFmt w:val="bullet"/>
      <w:lvlText w:val="•"/>
      <w:lvlJc w:val="left"/>
      <w:pPr>
        <w:tabs>
          <w:tab w:val="num" w:pos="1800"/>
        </w:tabs>
        <w:ind w:left="1800" w:hanging="360"/>
      </w:pPr>
      <w:rPr>
        <w:rFonts w:ascii="Arial" w:hAnsi="Arial" w:hint="default"/>
      </w:rPr>
    </w:lvl>
    <w:lvl w:ilvl="3" w:tplc="93AC969C" w:tentative="1">
      <w:start w:val="1"/>
      <w:numFmt w:val="bullet"/>
      <w:lvlText w:val="•"/>
      <w:lvlJc w:val="left"/>
      <w:pPr>
        <w:tabs>
          <w:tab w:val="num" w:pos="2520"/>
        </w:tabs>
        <w:ind w:left="2520" w:hanging="360"/>
      </w:pPr>
      <w:rPr>
        <w:rFonts w:ascii="Arial" w:hAnsi="Arial" w:hint="default"/>
      </w:rPr>
    </w:lvl>
    <w:lvl w:ilvl="4" w:tplc="46EE9BF8" w:tentative="1">
      <w:start w:val="1"/>
      <w:numFmt w:val="bullet"/>
      <w:lvlText w:val="•"/>
      <w:lvlJc w:val="left"/>
      <w:pPr>
        <w:tabs>
          <w:tab w:val="num" w:pos="3240"/>
        </w:tabs>
        <w:ind w:left="3240" w:hanging="360"/>
      </w:pPr>
      <w:rPr>
        <w:rFonts w:ascii="Arial" w:hAnsi="Arial" w:hint="default"/>
      </w:rPr>
    </w:lvl>
    <w:lvl w:ilvl="5" w:tplc="2A72AE66" w:tentative="1">
      <w:start w:val="1"/>
      <w:numFmt w:val="bullet"/>
      <w:lvlText w:val="•"/>
      <w:lvlJc w:val="left"/>
      <w:pPr>
        <w:tabs>
          <w:tab w:val="num" w:pos="3960"/>
        </w:tabs>
        <w:ind w:left="3960" w:hanging="360"/>
      </w:pPr>
      <w:rPr>
        <w:rFonts w:ascii="Arial" w:hAnsi="Arial" w:hint="default"/>
      </w:rPr>
    </w:lvl>
    <w:lvl w:ilvl="6" w:tplc="FDB83970" w:tentative="1">
      <w:start w:val="1"/>
      <w:numFmt w:val="bullet"/>
      <w:lvlText w:val="•"/>
      <w:lvlJc w:val="left"/>
      <w:pPr>
        <w:tabs>
          <w:tab w:val="num" w:pos="4680"/>
        </w:tabs>
        <w:ind w:left="4680" w:hanging="360"/>
      </w:pPr>
      <w:rPr>
        <w:rFonts w:ascii="Arial" w:hAnsi="Arial" w:hint="default"/>
      </w:rPr>
    </w:lvl>
    <w:lvl w:ilvl="7" w:tplc="E54A090E" w:tentative="1">
      <w:start w:val="1"/>
      <w:numFmt w:val="bullet"/>
      <w:lvlText w:val="•"/>
      <w:lvlJc w:val="left"/>
      <w:pPr>
        <w:tabs>
          <w:tab w:val="num" w:pos="5400"/>
        </w:tabs>
        <w:ind w:left="5400" w:hanging="360"/>
      </w:pPr>
      <w:rPr>
        <w:rFonts w:ascii="Arial" w:hAnsi="Arial" w:hint="default"/>
      </w:rPr>
    </w:lvl>
    <w:lvl w:ilvl="8" w:tplc="AD5AD6E8"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1E3C2C8B"/>
    <w:multiLevelType w:val="hybridMultilevel"/>
    <w:tmpl w:val="2FA66C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E97494D"/>
    <w:multiLevelType w:val="multilevel"/>
    <w:tmpl w:val="65E4417A"/>
    <w:name w:val="eod_numbers"/>
    <w:styleLink w:val="NHSListNumbers"/>
    <w:lvl w:ilvl="0">
      <w:start w:val="1"/>
      <w:numFmt w:val="decimal"/>
      <w:pStyle w:val="ListNumber"/>
      <w:lvlText w:val="%1)"/>
      <w:lvlJc w:val="left"/>
      <w:pPr>
        <w:tabs>
          <w:tab w:val="num" w:pos="1021"/>
        </w:tabs>
        <w:ind w:left="1021" w:hanging="454"/>
      </w:pPr>
      <w:rPr>
        <w:rFonts w:hint="default"/>
      </w:rPr>
    </w:lvl>
    <w:lvl w:ilvl="1">
      <w:start w:val="1"/>
      <w:numFmt w:val="lowerLetter"/>
      <w:pStyle w:val="ListNumber2"/>
      <w:lvlText w:val="%2)"/>
      <w:lvlJc w:val="left"/>
      <w:pPr>
        <w:tabs>
          <w:tab w:val="num" w:pos="1474"/>
        </w:tabs>
        <w:ind w:left="1474" w:hanging="453"/>
      </w:pPr>
      <w:rPr>
        <w:rFonts w:hint="default"/>
      </w:rPr>
    </w:lvl>
    <w:lvl w:ilvl="2">
      <w:start w:val="1"/>
      <w:numFmt w:val="lowerRoman"/>
      <w:pStyle w:val="ListNumber3"/>
      <w:lvlText w:val="%3)"/>
      <w:lvlJc w:val="left"/>
      <w:pPr>
        <w:tabs>
          <w:tab w:val="num" w:pos="1928"/>
        </w:tabs>
        <w:ind w:left="1928" w:hanging="454"/>
      </w:pPr>
      <w:rPr>
        <w:rFonts w:hint="default"/>
      </w:rPr>
    </w:lvl>
    <w:lvl w:ilvl="3">
      <w:start w:val="1"/>
      <w:numFmt w:val="decimal"/>
      <w:pStyle w:val="ListNumber4"/>
      <w:lvlText w:val="(%4)"/>
      <w:lvlJc w:val="left"/>
      <w:pPr>
        <w:tabs>
          <w:tab w:val="num" w:pos="1429"/>
        </w:tabs>
        <w:ind w:left="1429" w:hanging="357"/>
      </w:pPr>
      <w:rPr>
        <w:rFonts w:hint="default"/>
      </w:rPr>
    </w:lvl>
    <w:lvl w:ilvl="4">
      <w:start w:val="1"/>
      <w:numFmt w:val="lowerLetter"/>
      <w:pStyle w:val="ListNumber5"/>
      <w:lvlText w:val="(%5)"/>
      <w:lvlJc w:val="left"/>
      <w:pPr>
        <w:tabs>
          <w:tab w:val="num" w:pos="1786"/>
        </w:tabs>
        <w:ind w:left="1786" w:hanging="35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EF37E34"/>
    <w:multiLevelType w:val="multilevel"/>
    <w:tmpl w:val="7D4A18DC"/>
    <w:name w:val="nhs_table_bullets"/>
    <w:styleLink w:val="NHSTableBullets"/>
    <w:lvl w:ilvl="0">
      <w:start w:val="1"/>
      <w:numFmt w:val="bullet"/>
      <w:pStyle w:val="TableBullet"/>
      <w:lvlText w:val=""/>
      <w:lvlJc w:val="left"/>
      <w:pPr>
        <w:tabs>
          <w:tab w:val="num" w:pos="284"/>
        </w:tabs>
        <w:ind w:left="284" w:hanging="284"/>
      </w:pPr>
      <w:rPr>
        <w:rFonts w:ascii="Symbol" w:hAnsi="Symbol" w:hint="default"/>
        <w:color w:val="005EB8"/>
      </w:rPr>
    </w:lvl>
    <w:lvl w:ilvl="1">
      <w:start w:val="1"/>
      <w:numFmt w:val="bullet"/>
      <w:pStyle w:val="TableBullet2"/>
      <w:lvlText w:val="‒"/>
      <w:lvlJc w:val="left"/>
      <w:pPr>
        <w:tabs>
          <w:tab w:val="num" w:pos="567"/>
        </w:tabs>
        <w:ind w:left="567" w:hanging="283"/>
      </w:pPr>
      <w:rPr>
        <w:rFonts w:ascii="Arial" w:hAnsi="Arial" w:hint="default"/>
        <w:color w:val="005EB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FA5472B"/>
    <w:multiLevelType w:val="hybridMultilevel"/>
    <w:tmpl w:val="E24623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1E75497"/>
    <w:multiLevelType w:val="hybridMultilevel"/>
    <w:tmpl w:val="E9D05E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8E646F5"/>
    <w:multiLevelType w:val="hybridMultilevel"/>
    <w:tmpl w:val="A5C605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C7946B2"/>
    <w:multiLevelType w:val="hybridMultilevel"/>
    <w:tmpl w:val="D59EBE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853A59"/>
    <w:multiLevelType w:val="hybridMultilevel"/>
    <w:tmpl w:val="720807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DD13A53"/>
    <w:multiLevelType w:val="hybridMultilevel"/>
    <w:tmpl w:val="6764DDD2"/>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8" w15:restartNumberingAfterBreak="0">
    <w:nsid w:val="3DE81FD4"/>
    <w:multiLevelType w:val="hybridMultilevel"/>
    <w:tmpl w:val="AB6A9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25054D"/>
    <w:multiLevelType w:val="hybridMultilevel"/>
    <w:tmpl w:val="2C204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8E78E9"/>
    <w:multiLevelType w:val="hybridMultilevel"/>
    <w:tmpl w:val="A1D055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364186C"/>
    <w:multiLevelType w:val="hybridMultilevel"/>
    <w:tmpl w:val="183E57E6"/>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32" w15:restartNumberingAfterBreak="0">
    <w:nsid w:val="4405481F"/>
    <w:multiLevelType w:val="hybridMultilevel"/>
    <w:tmpl w:val="4516EF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6AF6C3F"/>
    <w:multiLevelType w:val="hybridMultilevel"/>
    <w:tmpl w:val="0734D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A0E4B38"/>
    <w:multiLevelType w:val="multilevel"/>
    <w:tmpl w:val="65E4417A"/>
    <w:numStyleLink w:val="NHSListNumbers"/>
  </w:abstractNum>
  <w:abstractNum w:abstractNumId="35" w15:restartNumberingAfterBreak="0">
    <w:nsid w:val="59FC73AE"/>
    <w:multiLevelType w:val="hybridMultilevel"/>
    <w:tmpl w:val="51E2DDFC"/>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3D7FD8"/>
    <w:multiLevelType w:val="hybridMultilevel"/>
    <w:tmpl w:val="1ACEC9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C35368F"/>
    <w:multiLevelType w:val="hybridMultilevel"/>
    <w:tmpl w:val="B16E50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990" w:hanging="360"/>
      </w:pPr>
      <w:rPr>
        <w:rFonts w:ascii="Courier New" w:hAnsi="Courier New" w:cs="Courier New" w:hint="default"/>
      </w:rPr>
    </w:lvl>
    <w:lvl w:ilvl="2" w:tplc="08090005" w:tentative="1">
      <w:start w:val="1"/>
      <w:numFmt w:val="bullet"/>
      <w:lvlText w:val=""/>
      <w:lvlJc w:val="left"/>
      <w:pPr>
        <w:ind w:left="1710" w:hanging="360"/>
      </w:pPr>
      <w:rPr>
        <w:rFonts w:ascii="Wingdings" w:hAnsi="Wingdings" w:hint="default"/>
      </w:rPr>
    </w:lvl>
    <w:lvl w:ilvl="3" w:tplc="08090001" w:tentative="1">
      <w:start w:val="1"/>
      <w:numFmt w:val="bullet"/>
      <w:lvlText w:val=""/>
      <w:lvlJc w:val="left"/>
      <w:pPr>
        <w:ind w:left="2430" w:hanging="360"/>
      </w:pPr>
      <w:rPr>
        <w:rFonts w:ascii="Symbol" w:hAnsi="Symbol" w:hint="default"/>
      </w:rPr>
    </w:lvl>
    <w:lvl w:ilvl="4" w:tplc="08090003" w:tentative="1">
      <w:start w:val="1"/>
      <w:numFmt w:val="bullet"/>
      <w:lvlText w:val="o"/>
      <w:lvlJc w:val="left"/>
      <w:pPr>
        <w:ind w:left="3150" w:hanging="360"/>
      </w:pPr>
      <w:rPr>
        <w:rFonts w:ascii="Courier New" w:hAnsi="Courier New" w:cs="Courier New" w:hint="default"/>
      </w:rPr>
    </w:lvl>
    <w:lvl w:ilvl="5" w:tplc="08090005" w:tentative="1">
      <w:start w:val="1"/>
      <w:numFmt w:val="bullet"/>
      <w:lvlText w:val=""/>
      <w:lvlJc w:val="left"/>
      <w:pPr>
        <w:ind w:left="3870" w:hanging="360"/>
      </w:pPr>
      <w:rPr>
        <w:rFonts w:ascii="Wingdings" w:hAnsi="Wingdings" w:hint="default"/>
      </w:rPr>
    </w:lvl>
    <w:lvl w:ilvl="6" w:tplc="08090001" w:tentative="1">
      <w:start w:val="1"/>
      <w:numFmt w:val="bullet"/>
      <w:lvlText w:val=""/>
      <w:lvlJc w:val="left"/>
      <w:pPr>
        <w:ind w:left="4590" w:hanging="360"/>
      </w:pPr>
      <w:rPr>
        <w:rFonts w:ascii="Symbol" w:hAnsi="Symbol" w:hint="default"/>
      </w:rPr>
    </w:lvl>
    <w:lvl w:ilvl="7" w:tplc="08090003" w:tentative="1">
      <w:start w:val="1"/>
      <w:numFmt w:val="bullet"/>
      <w:lvlText w:val="o"/>
      <w:lvlJc w:val="left"/>
      <w:pPr>
        <w:ind w:left="5310" w:hanging="360"/>
      </w:pPr>
      <w:rPr>
        <w:rFonts w:ascii="Courier New" w:hAnsi="Courier New" w:cs="Courier New" w:hint="default"/>
      </w:rPr>
    </w:lvl>
    <w:lvl w:ilvl="8" w:tplc="08090005" w:tentative="1">
      <w:start w:val="1"/>
      <w:numFmt w:val="bullet"/>
      <w:lvlText w:val=""/>
      <w:lvlJc w:val="left"/>
      <w:pPr>
        <w:ind w:left="6030" w:hanging="360"/>
      </w:pPr>
      <w:rPr>
        <w:rFonts w:ascii="Wingdings" w:hAnsi="Wingdings" w:hint="default"/>
      </w:rPr>
    </w:lvl>
  </w:abstractNum>
  <w:abstractNum w:abstractNumId="38" w15:restartNumberingAfterBreak="0">
    <w:nsid w:val="60642691"/>
    <w:multiLevelType w:val="hybridMultilevel"/>
    <w:tmpl w:val="7CA0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85F615F"/>
    <w:multiLevelType w:val="hybridMultilevel"/>
    <w:tmpl w:val="6E7AD136"/>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40" w15:restartNumberingAfterBreak="0">
    <w:nsid w:val="6A6E3C57"/>
    <w:multiLevelType w:val="hybridMultilevel"/>
    <w:tmpl w:val="30164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A923F11"/>
    <w:multiLevelType w:val="multilevel"/>
    <w:tmpl w:val="503CA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5B5556"/>
    <w:multiLevelType w:val="hybridMultilevel"/>
    <w:tmpl w:val="23B40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3184010"/>
    <w:multiLevelType w:val="hybridMultilevel"/>
    <w:tmpl w:val="E7C8AA78"/>
    <w:lvl w:ilvl="0" w:tplc="B2E0F26A">
      <w:start w:val="1"/>
      <w:numFmt w:val="bullet"/>
      <w:lvlText w:val=""/>
      <w:lvlJc w:val="left"/>
      <w:pPr>
        <w:ind w:left="360" w:hanging="360"/>
      </w:pPr>
      <w:rPr>
        <w:rFonts w:ascii="Symbol" w:hAnsi="Symbol"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A25115"/>
    <w:multiLevelType w:val="hybridMultilevel"/>
    <w:tmpl w:val="94E6BF5C"/>
    <w:lvl w:ilvl="0" w:tplc="B2E0F26A">
      <w:start w:val="1"/>
      <w:numFmt w:val="bullet"/>
      <w:lvlText w:val=""/>
      <w:lvlJc w:val="left"/>
      <w:pPr>
        <w:ind w:left="360" w:hanging="360"/>
      </w:pPr>
      <w:rPr>
        <w:rFonts w:ascii="Symbol" w:hAnsi="Symbol" w:hint="default"/>
        <w:color w:val="4472C4" w:themeColor="accent1"/>
      </w:rPr>
    </w:lvl>
    <w:lvl w:ilvl="1" w:tplc="FFFFFFFF" w:tentative="1">
      <w:start w:val="1"/>
      <w:numFmt w:val="bullet"/>
      <w:lvlText w:val="o"/>
      <w:lvlJc w:val="left"/>
      <w:pPr>
        <w:ind w:left="990" w:hanging="360"/>
      </w:pPr>
      <w:rPr>
        <w:rFonts w:ascii="Courier New" w:hAnsi="Courier New" w:cs="Courier New" w:hint="default"/>
      </w:rPr>
    </w:lvl>
    <w:lvl w:ilvl="2" w:tplc="FFFFFFFF" w:tentative="1">
      <w:start w:val="1"/>
      <w:numFmt w:val="bullet"/>
      <w:lvlText w:val=""/>
      <w:lvlJc w:val="left"/>
      <w:pPr>
        <w:ind w:left="1710" w:hanging="360"/>
      </w:pPr>
      <w:rPr>
        <w:rFonts w:ascii="Wingdings" w:hAnsi="Wingdings" w:hint="default"/>
      </w:rPr>
    </w:lvl>
    <w:lvl w:ilvl="3" w:tplc="FFFFFFFF" w:tentative="1">
      <w:start w:val="1"/>
      <w:numFmt w:val="bullet"/>
      <w:lvlText w:val=""/>
      <w:lvlJc w:val="left"/>
      <w:pPr>
        <w:ind w:left="2430" w:hanging="360"/>
      </w:pPr>
      <w:rPr>
        <w:rFonts w:ascii="Symbol" w:hAnsi="Symbol" w:hint="default"/>
      </w:rPr>
    </w:lvl>
    <w:lvl w:ilvl="4" w:tplc="FFFFFFFF" w:tentative="1">
      <w:start w:val="1"/>
      <w:numFmt w:val="bullet"/>
      <w:lvlText w:val="o"/>
      <w:lvlJc w:val="left"/>
      <w:pPr>
        <w:ind w:left="3150" w:hanging="360"/>
      </w:pPr>
      <w:rPr>
        <w:rFonts w:ascii="Courier New" w:hAnsi="Courier New" w:cs="Courier New" w:hint="default"/>
      </w:rPr>
    </w:lvl>
    <w:lvl w:ilvl="5" w:tplc="FFFFFFFF" w:tentative="1">
      <w:start w:val="1"/>
      <w:numFmt w:val="bullet"/>
      <w:lvlText w:val=""/>
      <w:lvlJc w:val="left"/>
      <w:pPr>
        <w:ind w:left="3870" w:hanging="360"/>
      </w:pPr>
      <w:rPr>
        <w:rFonts w:ascii="Wingdings" w:hAnsi="Wingdings" w:hint="default"/>
      </w:rPr>
    </w:lvl>
    <w:lvl w:ilvl="6" w:tplc="FFFFFFFF" w:tentative="1">
      <w:start w:val="1"/>
      <w:numFmt w:val="bullet"/>
      <w:lvlText w:val=""/>
      <w:lvlJc w:val="left"/>
      <w:pPr>
        <w:ind w:left="4590" w:hanging="360"/>
      </w:pPr>
      <w:rPr>
        <w:rFonts w:ascii="Symbol" w:hAnsi="Symbol" w:hint="default"/>
      </w:rPr>
    </w:lvl>
    <w:lvl w:ilvl="7" w:tplc="FFFFFFFF" w:tentative="1">
      <w:start w:val="1"/>
      <w:numFmt w:val="bullet"/>
      <w:lvlText w:val="o"/>
      <w:lvlJc w:val="left"/>
      <w:pPr>
        <w:ind w:left="5310" w:hanging="360"/>
      </w:pPr>
      <w:rPr>
        <w:rFonts w:ascii="Courier New" w:hAnsi="Courier New" w:cs="Courier New" w:hint="default"/>
      </w:rPr>
    </w:lvl>
    <w:lvl w:ilvl="8" w:tplc="FFFFFFFF" w:tentative="1">
      <w:start w:val="1"/>
      <w:numFmt w:val="bullet"/>
      <w:lvlText w:val=""/>
      <w:lvlJc w:val="left"/>
      <w:pPr>
        <w:ind w:left="6030" w:hanging="360"/>
      </w:pPr>
      <w:rPr>
        <w:rFonts w:ascii="Wingdings" w:hAnsi="Wingdings" w:hint="default"/>
      </w:rPr>
    </w:lvl>
  </w:abstractNum>
  <w:abstractNum w:abstractNumId="45" w15:restartNumberingAfterBreak="0">
    <w:nsid w:val="7C077A54"/>
    <w:multiLevelType w:val="hybridMultilevel"/>
    <w:tmpl w:val="6AFCAE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E000FF6"/>
    <w:multiLevelType w:val="hybridMultilevel"/>
    <w:tmpl w:val="4AF64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15694840">
    <w:abstractNumId w:val="8"/>
  </w:num>
  <w:num w:numId="2" w16cid:durableId="1009675698">
    <w:abstractNumId w:val="7"/>
  </w:num>
  <w:num w:numId="3" w16cid:durableId="698706804">
    <w:abstractNumId w:val="6"/>
  </w:num>
  <w:num w:numId="4" w16cid:durableId="1733700707">
    <w:abstractNumId w:val="5"/>
  </w:num>
  <w:num w:numId="5" w16cid:durableId="1427653887">
    <w:abstractNumId w:val="4"/>
  </w:num>
  <w:num w:numId="6" w16cid:durableId="1021008256">
    <w:abstractNumId w:val="34"/>
  </w:num>
  <w:num w:numId="7" w16cid:durableId="488904025">
    <w:abstractNumId w:val="3"/>
  </w:num>
  <w:num w:numId="8" w16cid:durableId="1532568846">
    <w:abstractNumId w:val="2"/>
  </w:num>
  <w:num w:numId="9" w16cid:durableId="1992713488">
    <w:abstractNumId w:val="1"/>
  </w:num>
  <w:num w:numId="10" w16cid:durableId="498885058">
    <w:abstractNumId w:val="0"/>
  </w:num>
  <w:num w:numId="11" w16cid:durableId="1648390495">
    <w:abstractNumId w:val="16"/>
  </w:num>
  <w:num w:numId="12" w16cid:durableId="7517560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43568855">
    <w:abstractNumId w:val="20"/>
  </w:num>
  <w:num w:numId="14" w16cid:durableId="177019738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6347059">
    <w:abstractNumId w:val="21"/>
  </w:num>
  <w:num w:numId="16" w16cid:durableId="1718702138">
    <w:abstractNumId w:val="15"/>
  </w:num>
  <w:num w:numId="17" w16cid:durableId="1420642854">
    <w:abstractNumId w:val="9"/>
  </w:num>
  <w:num w:numId="18" w16cid:durableId="10375800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58997346">
    <w:abstractNumId w:val="36"/>
  </w:num>
  <w:num w:numId="20" w16cid:durableId="2030912229">
    <w:abstractNumId w:val="11"/>
  </w:num>
  <w:num w:numId="21" w16cid:durableId="1325429635">
    <w:abstractNumId w:val="30"/>
  </w:num>
  <w:num w:numId="22" w16cid:durableId="2061203885">
    <w:abstractNumId w:val="23"/>
  </w:num>
  <w:num w:numId="23" w16cid:durableId="2130968685">
    <w:abstractNumId w:val="42"/>
  </w:num>
  <w:num w:numId="24" w16cid:durableId="1530138829">
    <w:abstractNumId w:val="26"/>
  </w:num>
  <w:num w:numId="25" w16cid:durableId="129985193">
    <w:abstractNumId w:val="22"/>
  </w:num>
  <w:num w:numId="26" w16cid:durableId="178394650">
    <w:abstractNumId w:val="13"/>
  </w:num>
  <w:num w:numId="27" w16cid:durableId="2066488537">
    <w:abstractNumId w:val="38"/>
  </w:num>
  <w:num w:numId="28" w16cid:durableId="2071727613">
    <w:abstractNumId w:val="32"/>
  </w:num>
  <w:num w:numId="29" w16cid:durableId="2026202172">
    <w:abstractNumId w:val="17"/>
  </w:num>
  <w:num w:numId="30" w16cid:durableId="1907498071">
    <w:abstractNumId w:val="46"/>
  </w:num>
  <w:num w:numId="31" w16cid:durableId="37822058">
    <w:abstractNumId w:val="18"/>
  </w:num>
  <w:num w:numId="32" w16cid:durableId="1424178506">
    <w:abstractNumId w:val="10"/>
  </w:num>
  <w:num w:numId="33" w16cid:durableId="675307254">
    <w:abstractNumId w:val="33"/>
  </w:num>
  <w:num w:numId="34" w16cid:durableId="386226891">
    <w:abstractNumId w:val="40"/>
  </w:num>
  <w:num w:numId="35" w16cid:durableId="446042055">
    <w:abstractNumId w:val="45"/>
  </w:num>
  <w:num w:numId="36" w16cid:durableId="202058841">
    <w:abstractNumId w:val="19"/>
  </w:num>
  <w:num w:numId="37" w16cid:durableId="194660648">
    <w:abstractNumId w:val="24"/>
  </w:num>
  <w:num w:numId="38" w16cid:durableId="718893039">
    <w:abstractNumId w:val="39"/>
  </w:num>
  <w:num w:numId="39" w16cid:durableId="490295480">
    <w:abstractNumId w:val="35"/>
  </w:num>
  <w:num w:numId="40" w16cid:durableId="1197622872">
    <w:abstractNumId w:val="37"/>
  </w:num>
  <w:num w:numId="41" w16cid:durableId="1386300189">
    <w:abstractNumId w:val="44"/>
  </w:num>
  <w:num w:numId="42" w16cid:durableId="193466955">
    <w:abstractNumId w:val="14"/>
  </w:num>
  <w:num w:numId="43" w16cid:durableId="1907453972">
    <w:abstractNumId w:val="43"/>
  </w:num>
  <w:num w:numId="44" w16cid:durableId="1284927039">
    <w:abstractNumId w:val="25"/>
  </w:num>
  <w:num w:numId="45" w16cid:durableId="1166937179">
    <w:abstractNumId w:val="29"/>
  </w:num>
  <w:num w:numId="46" w16cid:durableId="1983536634">
    <w:abstractNumId w:val="12"/>
  </w:num>
  <w:num w:numId="47" w16cid:durableId="298414869">
    <w:abstractNumId w:val="28"/>
  </w:num>
  <w:num w:numId="48" w16cid:durableId="2124498990">
    <w:abstractNumId w:val="31"/>
  </w:num>
  <w:num w:numId="49" w16cid:durableId="1190605801">
    <w:abstractNumId w:val="27"/>
  </w:num>
  <w:num w:numId="50" w16cid:durableId="41833307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2DD"/>
    <w:rsid w:val="00000D28"/>
    <w:rsid w:val="00001D58"/>
    <w:rsid w:val="00007156"/>
    <w:rsid w:val="0001057A"/>
    <w:rsid w:val="000105D8"/>
    <w:rsid w:val="00011264"/>
    <w:rsid w:val="0001382D"/>
    <w:rsid w:val="00013D35"/>
    <w:rsid w:val="00016A16"/>
    <w:rsid w:val="0002597C"/>
    <w:rsid w:val="00030266"/>
    <w:rsid w:val="00045851"/>
    <w:rsid w:val="00050E89"/>
    <w:rsid w:val="00053424"/>
    <w:rsid w:val="00062865"/>
    <w:rsid w:val="00064D3D"/>
    <w:rsid w:val="00077338"/>
    <w:rsid w:val="00082E6F"/>
    <w:rsid w:val="00084A99"/>
    <w:rsid w:val="000854CC"/>
    <w:rsid w:val="000A2370"/>
    <w:rsid w:val="000A6D24"/>
    <w:rsid w:val="000B7058"/>
    <w:rsid w:val="000D454E"/>
    <w:rsid w:val="000E5CC2"/>
    <w:rsid w:val="000F42D7"/>
    <w:rsid w:val="0010130F"/>
    <w:rsid w:val="001117E1"/>
    <w:rsid w:val="00113CEB"/>
    <w:rsid w:val="00121905"/>
    <w:rsid w:val="00124106"/>
    <w:rsid w:val="001352C7"/>
    <w:rsid w:val="00137418"/>
    <w:rsid w:val="00142E53"/>
    <w:rsid w:val="001554DB"/>
    <w:rsid w:val="00160003"/>
    <w:rsid w:val="0017203B"/>
    <w:rsid w:val="00176F7C"/>
    <w:rsid w:val="00185BD2"/>
    <w:rsid w:val="0019014E"/>
    <w:rsid w:val="00190DA7"/>
    <w:rsid w:val="00194AB0"/>
    <w:rsid w:val="001A2693"/>
    <w:rsid w:val="001A3CEA"/>
    <w:rsid w:val="001A6A0C"/>
    <w:rsid w:val="001B1108"/>
    <w:rsid w:val="001C3908"/>
    <w:rsid w:val="001C6095"/>
    <w:rsid w:val="001D3526"/>
    <w:rsid w:val="001E1461"/>
    <w:rsid w:val="001E38A1"/>
    <w:rsid w:val="00204B9A"/>
    <w:rsid w:val="00206DD2"/>
    <w:rsid w:val="00211A1D"/>
    <w:rsid w:val="0022356F"/>
    <w:rsid w:val="0022538A"/>
    <w:rsid w:val="00233E25"/>
    <w:rsid w:val="002353D5"/>
    <w:rsid w:val="00243BB0"/>
    <w:rsid w:val="00266AD7"/>
    <w:rsid w:val="0028061C"/>
    <w:rsid w:val="002812E4"/>
    <w:rsid w:val="00282D6F"/>
    <w:rsid w:val="00283DE6"/>
    <w:rsid w:val="00283EA9"/>
    <w:rsid w:val="00285E1F"/>
    <w:rsid w:val="002B44EB"/>
    <w:rsid w:val="002B68C7"/>
    <w:rsid w:val="002D6865"/>
    <w:rsid w:val="002E4D54"/>
    <w:rsid w:val="0033024D"/>
    <w:rsid w:val="00330BAD"/>
    <w:rsid w:val="00331C8B"/>
    <w:rsid w:val="00335AA4"/>
    <w:rsid w:val="00337BC5"/>
    <w:rsid w:val="0035450B"/>
    <w:rsid w:val="00364C1C"/>
    <w:rsid w:val="0036739C"/>
    <w:rsid w:val="003755B0"/>
    <w:rsid w:val="00390392"/>
    <w:rsid w:val="003A5509"/>
    <w:rsid w:val="003B2CA1"/>
    <w:rsid w:val="003B6CDE"/>
    <w:rsid w:val="003C1046"/>
    <w:rsid w:val="003D0812"/>
    <w:rsid w:val="003D0C12"/>
    <w:rsid w:val="003D6B19"/>
    <w:rsid w:val="003E01CD"/>
    <w:rsid w:val="003E05B2"/>
    <w:rsid w:val="003E0F6F"/>
    <w:rsid w:val="003E4DDD"/>
    <w:rsid w:val="003F5B8E"/>
    <w:rsid w:val="003F7010"/>
    <w:rsid w:val="003F70B7"/>
    <w:rsid w:val="00404967"/>
    <w:rsid w:val="00407E8F"/>
    <w:rsid w:val="0041552B"/>
    <w:rsid w:val="004264E1"/>
    <w:rsid w:val="00427CD7"/>
    <w:rsid w:val="00430C0B"/>
    <w:rsid w:val="00442E39"/>
    <w:rsid w:val="00451480"/>
    <w:rsid w:val="004546D1"/>
    <w:rsid w:val="0045534A"/>
    <w:rsid w:val="004553D9"/>
    <w:rsid w:val="004607D5"/>
    <w:rsid w:val="00461096"/>
    <w:rsid w:val="00470653"/>
    <w:rsid w:val="004724AC"/>
    <w:rsid w:val="00472B5A"/>
    <w:rsid w:val="00477894"/>
    <w:rsid w:val="00483211"/>
    <w:rsid w:val="00487668"/>
    <w:rsid w:val="004A1882"/>
    <w:rsid w:val="004C1422"/>
    <w:rsid w:val="004D0D1D"/>
    <w:rsid w:val="004D5018"/>
    <w:rsid w:val="004E12DD"/>
    <w:rsid w:val="004F5635"/>
    <w:rsid w:val="004F7D3B"/>
    <w:rsid w:val="00511B6B"/>
    <w:rsid w:val="00523D1D"/>
    <w:rsid w:val="00540124"/>
    <w:rsid w:val="005471B1"/>
    <w:rsid w:val="005823A6"/>
    <w:rsid w:val="0058663C"/>
    <w:rsid w:val="00594514"/>
    <w:rsid w:val="005950C0"/>
    <w:rsid w:val="005D39D0"/>
    <w:rsid w:val="005F0055"/>
    <w:rsid w:val="00600095"/>
    <w:rsid w:val="00602E8B"/>
    <w:rsid w:val="00613390"/>
    <w:rsid w:val="00617C6C"/>
    <w:rsid w:val="00621F39"/>
    <w:rsid w:val="00625399"/>
    <w:rsid w:val="00625444"/>
    <w:rsid w:val="00627EDB"/>
    <w:rsid w:val="006308A9"/>
    <w:rsid w:val="00653CAD"/>
    <w:rsid w:val="0065747E"/>
    <w:rsid w:val="006574D6"/>
    <w:rsid w:val="00662BA0"/>
    <w:rsid w:val="006742B7"/>
    <w:rsid w:val="00682D7B"/>
    <w:rsid w:val="006842BE"/>
    <w:rsid w:val="006912BC"/>
    <w:rsid w:val="006934AF"/>
    <w:rsid w:val="006A73A7"/>
    <w:rsid w:val="006B0907"/>
    <w:rsid w:val="006C1B7D"/>
    <w:rsid w:val="006C5FC3"/>
    <w:rsid w:val="006D095F"/>
    <w:rsid w:val="006D0E2D"/>
    <w:rsid w:val="006E0FE6"/>
    <w:rsid w:val="006E6D99"/>
    <w:rsid w:val="006F1DF1"/>
    <w:rsid w:val="006F6217"/>
    <w:rsid w:val="007024C0"/>
    <w:rsid w:val="007067A7"/>
    <w:rsid w:val="00710B4A"/>
    <w:rsid w:val="007164B7"/>
    <w:rsid w:val="00717319"/>
    <w:rsid w:val="00717B61"/>
    <w:rsid w:val="00723FFD"/>
    <w:rsid w:val="00727916"/>
    <w:rsid w:val="00730BA7"/>
    <w:rsid w:val="00740657"/>
    <w:rsid w:val="007454D0"/>
    <w:rsid w:val="00745B80"/>
    <w:rsid w:val="00761F36"/>
    <w:rsid w:val="007661A4"/>
    <w:rsid w:val="007801B9"/>
    <w:rsid w:val="0078226D"/>
    <w:rsid w:val="00787559"/>
    <w:rsid w:val="00796C63"/>
    <w:rsid w:val="007A0D2E"/>
    <w:rsid w:val="007A69E6"/>
    <w:rsid w:val="007A7807"/>
    <w:rsid w:val="007C71A9"/>
    <w:rsid w:val="007D086A"/>
    <w:rsid w:val="007D36A8"/>
    <w:rsid w:val="007E485F"/>
    <w:rsid w:val="007E4D34"/>
    <w:rsid w:val="007E62AE"/>
    <w:rsid w:val="007E75A2"/>
    <w:rsid w:val="007F6197"/>
    <w:rsid w:val="00803095"/>
    <w:rsid w:val="00806C04"/>
    <w:rsid w:val="0081551D"/>
    <w:rsid w:val="008167AD"/>
    <w:rsid w:val="00817D47"/>
    <w:rsid w:val="00833E4A"/>
    <w:rsid w:val="00842A07"/>
    <w:rsid w:val="008513AA"/>
    <w:rsid w:val="008543A3"/>
    <w:rsid w:val="00857CEF"/>
    <w:rsid w:val="00861440"/>
    <w:rsid w:val="008651A2"/>
    <w:rsid w:val="00865629"/>
    <w:rsid w:val="008720FE"/>
    <w:rsid w:val="00874A41"/>
    <w:rsid w:val="00882736"/>
    <w:rsid w:val="0089059A"/>
    <w:rsid w:val="008915D7"/>
    <w:rsid w:val="008949B4"/>
    <w:rsid w:val="008A3186"/>
    <w:rsid w:val="008A4BBA"/>
    <w:rsid w:val="008B629F"/>
    <w:rsid w:val="008C02A0"/>
    <w:rsid w:val="008C32BC"/>
    <w:rsid w:val="008D0CED"/>
    <w:rsid w:val="008E2357"/>
    <w:rsid w:val="008E5068"/>
    <w:rsid w:val="008F32A3"/>
    <w:rsid w:val="008F57E5"/>
    <w:rsid w:val="008F7B2B"/>
    <w:rsid w:val="00902112"/>
    <w:rsid w:val="00902595"/>
    <w:rsid w:val="00904E93"/>
    <w:rsid w:val="00911876"/>
    <w:rsid w:val="00921E8A"/>
    <w:rsid w:val="00923FC6"/>
    <w:rsid w:val="00927789"/>
    <w:rsid w:val="00927AC2"/>
    <w:rsid w:val="009429FB"/>
    <w:rsid w:val="00943EA5"/>
    <w:rsid w:val="00956058"/>
    <w:rsid w:val="00957EED"/>
    <w:rsid w:val="00961019"/>
    <w:rsid w:val="009616DF"/>
    <w:rsid w:val="00966714"/>
    <w:rsid w:val="00973329"/>
    <w:rsid w:val="00973E26"/>
    <w:rsid w:val="009801FE"/>
    <w:rsid w:val="00982060"/>
    <w:rsid w:val="00983961"/>
    <w:rsid w:val="00986904"/>
    <w:rsid w:val="00987429"/>
    <w:rsid w:val="00995346"/>
    <w:rsid w:val="009B578B"/>
    <w:rsid w:val="009C6706"/>
    <w:rsid w:val="009D4A97"/>
    <w:rsid w:val="009D7D6A"/>
    <w:rsid w:val="009E3E3F"/>
    <w:rsid w:val="009F1821"/>
    <w:rsid w:val="009F277C"/>
    <w:rsid w:val="009F7963"/>
    <w:rsid w:val="00A0274F"/>
    <w:rsid w:val="00A05823"/>
    <w:rsid w:val="00A20A23"/>
    <w:rsid w:val="00A3156F"/>
    <w:rsid w:val="00A33630"/>
    <w:rsid w:val="00A34F3C"/>
    <w:rsid w:val="00A35021"/>
    <w:rsid w:val="00A42C85"/>
    <w:rsid w:val="00A43260"/>
    <w:rsid w:val="00A46B53"/>
    <w:rsid w:val="00A50FD5"/>
    <w:rsid w:val="00A54624"/>
    <w:rsid w:val="00A560F3"/>
    <w:rsid w:val="00A57E9A"/>
    <w:rsid w:val="00A64025"/>
    <w:rsid w:val="00A729E3"/>
    <w:rsid w:val="00A73A12"/>
    <w:rsid w:val="00A757D0"/>
    <w:rsid w:val="00A804BB"/>
    <w:rsid w:val="00A848AC"/>
    <w:rsid w:val="00A85CE8"/>
    <w:rsid w:val="00A93359"/>
    <w:rsid w:val="00AB3FAB"/>
    <w:rsid w:val="00AB6E4F"/>
    <w:rsid w:val="00AC2674"/>
    <w:rsid w:val="00AC2D9A"/>
    <w:rsid w:val="00AC6CF2"/>
    <w:rsid w:val="00AD13F4"/>
    <w:rsid w:val="00AD2FC3"/>
    <w:rsid w:val="00AE33D3"/>
    <w:rsid w:val="00AF6C9C"/>
    <w:rsid w:val="00B434C5"/>
    <w:rsid w:val="00B44C16"/>
    <w:rsid w:val="00B53CCF"/>
    <w:rsid w:val="00B56410"/>
    <w:rsid w:val="00B6317E"/>
    <w:rsid w:val="00B6520E"/>
    <w:rsid w:val="00B70491"/>
    <w:rsid w:val="00B76A4A"/>
    <w:rsid w:val="00B77266"/>
    <w:rsid w:val="00B872E2"/>
    <w:rsid w:val="00BA0041"/>
    <w:rsid w:val="00BA1191"/>
    <w:rsid w:val="00BB3693"/>
    <w:rsid w:val="00BC6E40"/>
    <w:rsid w:val="00BD0BAD"/>
    <w:rsid w:val="00BD420B"/>
    <w:rsid w:val="00BD6A94"/>
    <w:rsid w:val="00BE0A4E"/>
    <w:rsid w:val="00BF67D3"/>
    <w:rsid w:val="00C00FF7"/>
    <w:rsid w:val="00C017AF"/>
    <w:rsid w:val="00C05354"/>
    <w:rsid w:val="00C163C7"/>
    <w:rsid w:val="00C16B85"/>
    <w:rsid w:val="00C2034F"/>
    <w:rsid w:val="00C2612A"/>
    <w:rsid w:val="00C2628E"/>
    <w:rsid w:val="00C33081"/>
    <w:rsid w:val="00C36740"/>
    <w:rsid w:val="00C47B2A"/>
    <w:rsid w:val="00C54D33"/>
    <w:rsid w:val="00C61E9B"/>
    <w:rsid w:val="00C65E48"/>
    <w:rsid w:val="00C65EB0"/>
    <w:rsid w:val="00C76568"/>
    <w:rsid w:val="00C778AC"/>
    <w:rsid w:val="00C83BEC"/>
    <w:rsid w:val="00C91DA0"/>
    <w:rsid w:val="00C97912"/>
    <w:rsid w:val="00C97A0A"/>
    <w:rsid w:val="00CA2872"/>
    <w:rsid w:val="00CB24A9"/>
    <w:rsid w:val="00CD288A"/>
    <w:rsid w:val="00CF1783"/>
    <w:rsid w:val="00CF6F45"/>
    <w:rsid w:val="00D004EA"/>
    <w:rsid w:val="00D00730"/>
    <w:rsid w:val="00D03006"/>
    <w:rsid w:val="00D06E34"/>
    <w:rsid w:val="00D10AA9"/>
    <w:rsid w:val="00D15BD2"/>
    <w:rsid w:val="00D326B1"/>
    <w:rsid w:val="00D421EB"/>
    <w:rsid w:val="00D43A72"/>
    <w:rsid w:val="00D52671"/>
    <w:rsid w:val="00D64FE1"/>
    <w:rsid w:val="00D73360"/>
    <w:rsid w:val="00D75D1E"/>
    <w:rsid w:val="00D76551"/>
    <w:rsid w:val="00D765B9"/>
    <w:rsid w:val="00D806DF"/>
    <w:rsid w:val="00D84826"/>
    <w:rsid w:val="00D85FB0"/>
    <w:rsid w:val="00D86BEC"/>
    <w:rsid w:val="00D9156A"/>
    <w:rsid w:val="00D91F10"/>
    <w:rsid w:val="00DA12E0"/>
    <w:rsid w:val="00DB6B42"/>
    <w:rsid w:val="00DB7A85"/>
    <w:rsid w:val="00DD10A9"/>
    <w:rsid w:val="00DE07A5"/>
    <w:rsid w:val="00DE1884"/>
    <w:rsid w:val="00DE298D"/>
    <w:rsid w:val="00DF69B1"/>
    <w:rsid w:val="00E0160C"/>
    <w:rsid w:val="00E06682"/>
    <w:rsid w:val="00E1007F"/>
    <w:rsid w:val="00E118A6"/>
    <w:rsid w:val="00E133C3"/>
    <w:rsid w:val="00E16592"/>
    <w:rsid w:val="00E32507"/>
    <w:rsid w:val="00E50103"/>
    <w:rsid w:val="00E539AD"/>
    <w:rsid w:val="00E6051D"/>
    <w:rsid w:val="00E62F49"/>
    <w:rsid w:val="00E67C4D"/>
    <w:rsid w:val="00E72FE3"/>
    <w:rsid w:val="00E80DF2"/>
    <w:rsid w:val="00E81D5E"/>
    <w:rsid w:val="00E928FC"/>
    <w:rsid w:val="00EA4725"/>
    <w:rsid w:val="00EA66B4"/>
    <w:rsid w:val="00EB10F7"/>
    <w:rsid w:val="00EB246B"/>
    <w:rsid w:val="00ED6459"/>
    <w:rsid w:val="00EE4016"/>
    <w:rsid w:val="00F01B8D"/>
    <w:rsid w:val="00F21321"/>
    <w:rsid w:val="00F21A3B"/>
    <w:rsid w:val="00F27B9B"/>
    <w:rsid w:val="00F405FE"/>
    <w:rsid w:val="00F41EF4"/>
    <w:rsid w:val="00F421E1"/>
    <w:rsid w:val="00F46606"/>
    <w:rsid w:val="00F52F1A"/>
    <w:rsid w:val="00F667BA"/>
    <w:rsid w:val="00F66CE5"/>
    <w:rsid w:val="00F81CD9"/>
    <w:rsid w:val="00F8312F"/>
    <w:rsid w:val="00F859F0"/>
    <w:rsid w:val="00F9189B"/>
    <w:rsid w:val="00F92AE7"/>
    <w:rsid w:val="00F92D5B"/>
    <w:rsid w:val="00F93EB3"/>
    <w:rsid w:val="00F9409E"/>
    <w:rsid w:val="00FA1494"/>
    <w:rsid w:val="00FA40E6"/>
    <w:rsid w:val="00FA41FA"/>
    <w:rsid w:val="00FA4283"/>
    <w:rsid w:val="00FB09FF"/>
    <w:rsid w:val="00FB24FB"/>
    <w:rsid w:val="00FB2C91"/>
    <w:rsid w:val="00FC1D26"/>
    <w:rsid w:val="00FC72E1"/>
    <w:rsid w:val="00FD0D3A"/>
    <w:rsid w:val="00FD4456"/>
    <w:rsid w:val="00FD55F0"/>
    <w:rsid w:val="00FE5733"/>
    <w:rsid w:val="06E2503F"/>
    <w:rsid w:val="0D17C8F4"/>
    <w:rsid w:val="0E8D2087"/>
    <w:rsid w:val="0EB84088"/>
    <w:rsid w:val="0F24BD36"/>
    <w:rsid w:val="11D734B5"/>
    <w:rsid w:val="1254A077"/>
    <w:rsid w:val="146265B4"/>
    <w:rsid w:val="1698CD59"/>
    <w:rsid w:val="1A1AA813"/>
    <w:rsid w:val="24E72492"/>
    <w:rsid w:val="253430B7"/>
    <w:rsid w:val="26B5F796"/>
    <w:rsid w:val="2851BA36"/>
    <w:rsid w:val="2ABC55D5"/>
    <w:rsid w:val="2BD384DD"/>
    <w:rsid w:val="2E8F8801"/>
    <w:rsid w:val="3429251C"/>
    <w:rsid w:val="387D3A77"/>
    <w:rsid w:val="3923E580"/>
    <w:rsid w:val="3E682504"/>
    <w:rsid w:val="46CB1CA2"/>
    <w:rsid w:val="4B7E6360"/>
    <w:rsid w:val="4D22032D"/>
    <w:rsid w:val="50E763B3"/>
    <w:rsid w:val="53398476"/>
    <w:rsid w:val="538CD76D"/>
    <w:rsid w:val="56011635"/>
    <w:rsid w:val="59A8D662"/>
    <w:rsid w:val="5AEF7847"/>
    <w:rsid w:val="5B69F11A"/>
    <w:rsid w:val="64E73ADC"/>
    <w:rsid w:val="679B0316"/>
    <w:rsid w:val="6B8E70CF"/>
    <w:rsid w:val="6DD6594B"/>
    <w:rsid w:val="6F0F50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D26A3"/>
  <w15:chartTrackingRefBased/>
  <w15:docId w15:val="{7550840F-4D65-4B6D-AB8E-2D60AA7A2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4" w:unhideWhenUsed="1" w:qFormat="1"/>
    <w:lsdException w:name="List Number" w:semiHidden="1" w:uiPriority="1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4"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16" w:unhideWhenUsed="1" w:qFormat="1"/>
    <w:lsdException w:name="List Number 3" w:semiHidden="1" w:uiPriority="16" w:unhideWhenUsed="1" w:qFormat="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6" w:unhideWhenUsed="1" w:qFormat="1"/>
    <w:lsdException w:name="List Continue 2" w:semiHidden="1" w:uiPriority="16" w:unhideWhenUsed="1" w:qFormat="1"/>
    <w:lsdException w:name="List Continue 3" w:semiHidden="1" w:uiPriority="16" w:unhideWhenUsed="1" w:qFormat="1"/>
    <w:lsdException w:name="List Continue 4" w:semiHidden="1" w:uiPriority="16" w:unhideWhenUsed="1"/>
    <w:lsdException w:name="List Continue 5" w:semiHidden="1" w:uiPriority="16" w:unhideWhenUsed="1"/>
    <w:lsdException w:name="Message Header" w:semiHidden="1" w:unhideWhenUsed="1"/>
    <w:lsdException w:name="Subtitle" w:uiPriority="19" w:qFormat="1"/>
    <w:lsdException w:name="Salutation" w:semiHidden="1" w:unhideWhenUsed="1"/>
    <w:lsdException w:name="Date" w:semiHidden="1" w:uiPriority="19"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3F70B7"/>
    <w:pPr>
      <w:spacing w:after="0" w:line="240" w:lineRule="auto"/>
    </w:pPr>
    <w:rPr>
      <w:rFonts w:ascii="Arial" w:hAnsi="Arial"/>
      <w:color w:val="231F20"/>
      <w:kern w:val="0"/>
      <w:sz w:val="24"/>
      <w:szCs w:val="24"/>
      <w14:ligatures w14:val="none"/>
    </w:rPr>
  </w:style>
  <w:style w:type="paragraph" w:styleId="Heading1">
    <w:name w:val="heading 1"/>
    <w:basedOn w:val="Normal"/>
    <w:next w:val="BodyText"/>
    <w:link w:val="Heading1Char"/>
    <w:uiPriority w:val="9"/>
    <w:qFormat/>
    <w:rsid w:val="004E12DD"/>
    <w:pPr>
      <w:keepNext/>
      <w:keepLines/>
      <w:spacing w:before="300" w:after="600" w:line="780" w:lineRule="exact"/>
      <w:contextualSpacing/>
      <w:outlineLvl w:val="0"/>
    </w:pPr>
    <w:rPr>
      <w:rFonts w:eastAsiaTheme="majorEastAsia" w:cstheme="majorBidi"/>
      <w:color w:val="005EB8"/>
      <w:sz w:val="72"/>
      <w:szCs w:val="32"/>
    </w:rPr>
  </w:style>
  <w:style w:type="paragraph" w:styleId="Heading2">
    <w:name w:val="heading 2"/>
    <w:basedOn w:val="Normal"/>
    <w:next w:val="BodyText"/>
    <w:link w:val="Heading2Char"/>
    <w:uiPriority w:val="9"/>
    <w:qFormat/>
    <w:rsid w:val="004E12DD"/>
    <w:pPr>
      <w:keepNext/>
      <w:keepLines/>
      <w:spacing w:before="60" w:after="280"/>
      <w:outlineLvl w:val="1"/>
    </w:pPr>
    <w:rPr>
      <w:rFonts w:eastAsiaTheme="majorEastAsia" w:cstheme="majorBidi"/>
      <w:color w:val="005EB8"/>
      <w:sz w:val="36"/>
      <w:szCs w:val="26"/>
    </w:rPr>
  </w:style>
  <w:style w:type="paragraph" w:styleId="Heading3">
    <w:name w:val="heading 3"/>
    <w:basedOn w:val="Normal"/>
    <w:next w:val="BodyText"/>
    <w:link w:val="Heading3Char"/>
    <w:uiPriority w:val="9"/>
    <w:qFormat/>
    <w:rsid w:val="004E12DD"/>
    <w:pPr>
      <w:keepNext/>
      <w:keepLines/>
      <w:spacing w:before="300" w:after="100"/>
      <w:outlineLvl w:val="2"/>
    </w:pPr>
    <w:rPr>
      <w:rFonts w:eastAsiaTheme="majorEastAsia" w:cstheme="majorBidi"/>
      <w:b/>
      <w:sz w:val="28"/>
    </w:rPr>
  </w:style>
  <w:style w:type="paragraph" w:styleId="Heading4">
    <w:name w:val="heading 4"/>
    <w:basedOn w:val="Normal"/>
    <w:next w:val="BodyText"/>
    <w:link w:val="Heading4Char"/>
    <w:uiPriority w:val="9"/>
    <w:qFormat/>
    <w:rsid w:val="004E12DD"/>
    <w:pPr>
      <w:keepNext/>
      <w:keepLines/>
      <w:spacing w:before="300" w:after="100"/>
      <w:outlineLvl w:val="3"/>
    </w:pPr>
    <w:rPr>
      <w:rFonts w:eastAsiaTheme="majorEastAsia" w:cstheme="majorBidi"/>
      <w:b/>
      <w:iCs/>
    </w:rPr>
  </w:style>
  <w:style w:type="paragraph" w:styleId="Heading5">
    <w:name w:val="heading 5"/>
    <w:basedOn w:val="Normal"/>
    <w:next w:val="BodyText"/>
    <w:link w:val="Heading5Char"/>
    <w:uiPriority w:val="99"/>
    <w:semiHidden/>
    <w:qFormat/>
    <w:rsid w:val="004E12DD"/>
    <w:pPr>
      <w:keepNext/>
      <w:keepLines/>
      <w:spacing w:before="40"/>
      <w:outlineLvl w:val="4"/>
    </w:pPr>
    <w:rPr>
      <w:rFonts w:eastAsiaTheme="majorEastAsia" w:cstheme="majorBidi"/>
      <w:i/>
    </w:rPr>
  </w:style>
  <w:style w:type="paragraph" w:styleId="Heading6">
    <w:name w:val="heading 6"/>
    <w:basedOn w:val="Normal"/>
    <w:next w:val="BodyText"/>
    <w:link w:val="Heading6Char"/>
    <w:uiPriority w:val="99"/>
    <w:semiHidden/>
    <w:qFormat/>
    <w:rsid w:val="004E12DD"/>
    <w:pPr>
      <w:keepNext/>
      <w:keepLines/>
      <w:spacing w:before="40"/>
      <w:outlineLvl w:val="5"/>
    </w:pPr>
    <w:rPr>
      <w:rFonts w:eastAsiaTheme="majorEastAsia" w:cstheme="majorBidi"/>
      <w:b/>
      <w:sz w:val="20"/>
    </w:rPr>
  </w:style>
  <w:style w:type="paragraph" w:styleId="Heading7">
    <w:name w:val="heading 7"/>
    <w:basedOn w:val="Normal"/>
    <w:next w:val="BodyText"/>
    <w:link w:val="Heading7Char"/>
    <w:uiPriority w:val="99"/>
    <w:semiHidden/>
    <w:qFormat/>
    <w:rsid w:val="004E12DD"/>
    <w:pPr>
      <w:keepNext/>
      <w:keepLines/>
      <w:spacing w:before="40"/>
      <w:outlineLvl w:val="6"/>
    </w:pPr>
    <w:rPr>
      <w:rFonts w:eastAsiaTheme="majorEastAsia" w:cstheme="majorBidi"/>
      <w:i/>
      <w:iCs/>
      <w:sz w:val="18"/>
    </w:rPr>
  </w:style>
  <w:style w:type="paragraph" w:styleId="Heading8">
    <w:name w:val="heading 8"/>
    <w:basedOn w:val="Normal"/>
    <w:next w:val="BodyText"/>
    <w:link w:val="Heading8Char"/>
    <w:uiPriority w:val="99"/>
    <w:semiHidden/>
    <w:qFormat/>
    <w:rsid w:val="004E12DD"/>
    <w:pPr>
      <w:keepNext/>
      <w:keepLines/>
      <w:spacing w:before="40"/>
      <w:outlineLvl w:val="7"/>
    </w:pPr>
    <w:rPr>
      <w:rFonts w:eastAsiaTheme="majorEastAsia" w:cstheme="majorBidi"/>
      <w:sz w:val="20"/>
      <w:szCs w:val="21"/>
    </w:rPr>
  </w:style>
  <w:style w:type="paragraph" w:styleId="Heading9">
    <w:name w:val="heading 9"/>
    <w:basedOn w:val="Normal"/>
    <w:next w:val="BodyText"/>
    <w:link w:val="Heading9Char"/>
    <w:uiPriority w:val="99"/>
    <w:semiHidden/>
    <w:qFormat/>
    <w:rsid w:val="004E12DD"/>
    <w:pPr>
      <w:keepNext/>
      <w:keepLines/>
      <w:spacing w:before="40"/>
      <w:outlineLvl w:val="8"/>
    </w:pPr>
    <w:rPr>
      <w:rFonts w:eastAsiaTheme="majorEastAsia" w:cstheme="majorBidi"/>
      <w:i/>
      <w:iCs/>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2DD"/>
    <w:rPr>
      <w:rFonts w:ascii="Arial" w:eastAsiaTheme="majorEastAsia" w:hAnsi="Arial" w:cstheme="majorBidi"/>
      <w:color w:val="005EB8"/>
      <w:kern w:val="0"/>
      <w:sz w:val="72"/>
      <w:szCs w:val="32"/>
      <w14:ligatures w14:val="none"/>
    </w:rPr>
  </w:style>
  <w:style w:type="character" w:customStyle="1" w:styleId="Heading2Char">
    <w:name w:val="Heading 2 Char"/>
    <w:basedOn w:val="DefaultParagraphFont"/>
    <w:link w:val="Heading2"/>
    <w:uiPriority w:val="9"/>
    <w:rsid w:val="004E12DD"/>
    <w:rPr>
      <w:rFonts w:ascii="Arial" w:eastAsiaTheme="majorEastAsia" w:hAnsi="Arial" w:cstheme="majorBidi"/>
      <w:color w:val="005EB8"/>
      <w:kern w:val="0"/>
      <w:sz w:val="36"/>
      <w:szCs w:val="26"/>
      <w14:ligatures w14:val="none"/>
    </w:rPr>
  </w:style>
  <w:style w:type="character" w:customStyle="1" w:styleId="Heading3Char">
    <w:name w:val="Heading 3 Char"/>
    <w:basedOn w:val="DefaultParagraphFont"/>
    <w:link w:val="Heading3"/>
    <w:uiPriority w:val="9"/>
    <w:rsid w:val="004E12DD"/>
    <w:rPr>
      <w:rFonts w:ascii="Arial" w:eastAsiaTheme="majorEastAsia" w:hAnsi="Arial" w:cstheme="majorBidi"/>
      <w:b/>
      <w:color w:val="231F20"/>
      <w:kern w:val="0"/>
      <w:sz w:val="28"/>
      <w:szCs w:val="24"/>
      <w14:ligatures w14:val="none"/>
    </w:rPr>
  </w:style>
  <w:style w:type="character" w:customStyle="1" w:styleId="Heading4Char">
    <w:name w:val="Heading 4 Char"/>
    <w:basedOn w:val="DefaultParagraphFont"/>
    <w:link w:val="Heading4"/>
    <w:uiPriority w:val="9"/>
    <w:rsid w:val="004E12DD"/>
    <w:rPr>
      <w:rFonts w:ascii="Arial" w:eastAsiaTheme="majorEastAsia" w:hAnsi="Arial" w:cstheme="majorBidi"/>
      <w:b/>
      <w:iCs/>
      <w:color w:val="231F20"/>
      <w:kern w:val="0"/>
      <w:sz w:val="24"/>
      <w:szCs w:val="24"/>
      <w14:ligatures w14:val="none"/>
    </w:rPr>
  </w:style>
  <w:style w:type="character" w:customStyle="1" w:styleId="Heading5Char">
    <w:name w:val="Heading 5 Char"/>
    <w:basedOn w:val="DefaultParagraphFont"/>
    <w:link w:val="Heading5"/>
    <w:uiPriority w:val="99"/>
    <w:semiHidden/>
    <w:rsid w:val="004E12DD"/>
    <w:rPr>
      <w:rFonts w:ascii="Arial" w:eastAsiaTheme="majorEastAsia" w:hAnsi="Arial" w:cstheme="majorBidi"/>
      <w:i/>
      <w:color w:val="231F20"/>
      <w:kern w:val="0"/>
      <w:sz w:val="24"/>
      <w:szCs w:val="24"/>
      <w14:ligatures w14:val="none"/>
    </w:rPr>
  </w:style>
  <w:style w:type="character" w:customStyle="1" w:styleId="Heading6Char">
    <w:name w:val="Heading 6 Char"/>
    <w:basedOn w:val="DefaultParagraphFont"/>
    <w:link w:val="Heading6"/>
    <w:uiPriority w:val="99"/>
    <w:semiHidden/>
    <w:rsid w:val="004E12DD"/>
    <w:rPr>
      <w:rFonts w:ascii="Arial" w:eastAsiaTheme="majorEastAsia" w:hAnsi="Arial" w:cstheme="majorBidi"/>
      <w:b/>
      <w:color w:val="231F20"/>
      <w:kern w:val="0"/>
      <w:sz w:val="20"/>
      <w:szCs w:val="24"/>
      <w14:ligatures w14:val="none"/>
    </w:rPr>
  </w:style>
  <w:style w:type="character" w:customStyle="1" w:styleId="Heading7Char">
    <w:name w:val="Heading 7 Char"/>
    <w:basedOn w:val="DefaultParagraphFont"/>
    <w:link w:val="Heading7"/>
    <w:uiPriority w:val="99"/>
    <w:semiHidden/>
    <w:rsid w:val="004E12DD"/>
    <w:rPr>
      <w:rFonts w:ascii="Arial" w:eastAsiaTheme="majorEastAsia" w:hAnsi="Arial" w:cstheme="majorBidi"/>
      <w:i/>
      <w:iCs/>
      <w:color w:val="231F20"/>
      <w:kern w:val="0"/>
      <w:sz w:val="18"/>
      <w:szCs w:val="24"/>
      <w14:ligatures w14:val="none"/>
    </w:rPr>
  </w:style>
  <w:style w:type="character" w:customStyle="1" w:styleId="Heading8Char">
    <w:name w:val="Heading 8 Char"/>
    <w:basedOn w:val="DefaultParagraphFont"/>
    <w:link w:val="Heading8"/>
    <w:uiPriority w:val="99"/>
    <w:semiHidden/>
    <w:rsid w:val="004E12DD"/>
    <w:rPr>
      <w:rFonts w:ascii="Arial" w:eastAsiaTheme="majorEastAsia" w:hAnsi="Arial" w:cstheme="majorBidi"/>
      <w:color w:val="231F20"/>
      <w:kern w:val="0"/>
      <w:sz w:val="20"/>
      <w:szCs w:val="21"/>
      <w14:ligatures w14:val="none"/>
    </w:rPr>
  </w:style>
  <w:style w:type="character" w:customStyle="1" w:styleId="Heading9Char">
    <w:name w:val="Heading 9 Char"/>
    <w:basedOn w:val="DefaultParagraphFont"/>
    <w:link w:val="Heading9"/>
    <w:uiPriority w:val="99"/>
    <w:semiHidden/>
    <w:rsid w:val="004E12DD"/>
    <w:rPr>
      <w:rFonts w:ascii="Arial" w:eastAsiaTheme="majorEastAsia" w:hAnsi="Arial" w:cstheme="majorBidi"/>
      <w:i/>
      <w:iCs/>
      <w:color w:val="231F20"/>
      <w:kern w:val="0"/>
      <w:sz w:val="18"/>
      <w:szCs w:val="21"/>
      <w14:ligatures w14:val="none"/>
    </w:rPr>
  </w:style>
  <w:style w:type="paragraph" w:styleId="BodyText">
    <w:name w:val="Body Text"/>
    <w:basedOn w:val="Normal"/>
    <w:link w:val="BodyTextChar"/>
    <w:qFormat/>
    <w:rsid w:val="004E12DD"/>
    <w:pPr>
      <w:spacing w:after="280" w:line="360" w:lineRule="atLeast"/>
    </w:pPr>
  </w:style>
  <w:style w:type="character" w:customStyle="1" w:styleId="BodyTextChar">
    <w:name w:val="Body Text Char"/>
    <w:basedOn w:val="DefaultParagraphFont"/>
    <w:link w:val="BodyText"/>
    <w:rsid w:val="004E12DD"/>
    <w:rPr>
      <w:rFonts w:ascii="Arial" w:hAnsi="Arial"/>
      <w:color w:val="231F20"/>
      <w:kern w:val="0"/>
      <w:sz w:val="24"/>
      <w:szCs w:val="24"/>
      <w14:ligatures w14:val="none"/>
    </w:rPr>
  </w:style>
  <w:style w:type="paragraph" w:styleId="Title">
    <w:name w:val="Title"/>
    <w:basedOn w:val="Normal"/>
    <w:next w:val="Subtitle"/>
    <w:link w:val="TitleChar"/>
    <w:uiPriority w:val="19"/>
    <w:qFormat/>
    <w:rsid w:val="004E12DD"/>
    <w:pPr>
      <w:spacing w:after="200"/>
      <w:contextualSpacing/>
    </w:pPr>
    <w:rPr>
      <w:rFonts w:eastAsiaTheme="majorEastAsia" w:cstheme="majorBidi"/>
      <w:color w:val="005EB8"/>
      <w:kern w:val="28"/>
      <w:sz w:val="64"/>
      <w:szCs w:val="56"/>
    </w:rPr>
  </w:style>
  <w:style w:type="character" w:customStyle="1" w:styleId="TitleChar">
    <w:name w:val="Title Char"/>
    <w:basedOn w:val="DefaultParagraphFont"/>
    <w:link w:val="Title"/>
    <w:uiPriority w:val="19"/>
    <w:rsid w:val="004E12DD"/>
    <w:rPr>
      <w:rFonts w:ascii="Arial" w:eastAsiaTheme="majorEastAsia" w:hAnsi="Arial" w:cstheme="majorBidi"/>
      <w:color w:val="005EB8"/>
      <w:kern w:val="28"/>
      <w:sz w:val="64"/>
      <w:szCs w:val="56"/>
      <w14:ligatures w14:val="none"/>
    </w:rPr>
  </w:style>
  <w:style w:type="paragraph" w:styleId="Quote">
    <w:name w:val="Quote"/>
    <w:basedOn w:val="BodyText"/>
    <w:next w:val="BodyText"/>
    <w:link w:val="QuoteChar"/>
    <w:uiPriority w:val="99"/>
    <w:qFormat/>
    <w:rsid w:val="004E12D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4E12DD"/>
    <w:rPr>
      <w:rFonts w:ascii="Arial" w:hAnsi="Arial"/>
      <w:i/>
      <w:iCs/>
      <w:color w:val="404040" w:themeColor="text1" w:themeTint="BF"/>
      <w:kern w:val="0"/>
      <w:sz w:val="24"/>
      <w:szCs w:val="24"/>
      <w14:ligatures w14:val="none"/>
    </w:rPr>
  </w:style>
  <w:style w:type="paragraph" w:styleId="Subtitle">
    <w:name w:val="Subtitle"/>
    <w:basedOn w:val="Normal"/>
    <w:next w:val="Date"/>
    <w:link w:val="SubtitleChar"/>
    <w:uiPriority w:val="19"/>
    <w:qFormat/>
    <w:rsid w:val="004E12DD"/>
    <w:pPr>
      <w:numPr>
        <w:ilvl w:val="1"/>
      </w:numPr>
      <w:contextualSpacing/>
    </w:pPr>
    <w:rPr>
      <w:rFonts w:eastAsiaTheme="minorEastAsia"/>
      <w:sz w:val="48"/>
    </w:rPr>
  </w:style>
  <w:style w:type="character" w:customStyle="1" w:styleId="SubtitleChar">
    <w:name w:val="Subtitle Char"/>
    <w:basedOn w:val="DefaultParagraphFont"/>
    <w:link w:val="Subtitle"/>
    <w:uiPriority w:val="19"/>
    <w:rsid w:val="004E12DD"/>
    <w:rPr>
      <w:rFonts w:ascii="Arial" w:eastAsiaTheme="minorEastAsia" w:hAnsi="Arial"/>
      <w:color w:val="231F20"/>
      <w:kern w:val="0"/>
      <w:sz w:val="48"/>
      <w:szCs w:val="24"/>
      <w14:ligatures w14:val="none"/>
    </w:rPr>
  </w:style>
  <w:style w:type="paragraph" w:styleId="Date">
    <w:name w:val="Date"/>
    <w:basedOn w:val="Normal"/>
    <w:next w:val="Normal"/>
    <w:link w:val="DateChar"/>
    <w:uiPriority w:val="19"/>
    <w:semiHidden/>
    <w:qFormat/>
    <w:rsid w:val="004E12DD"/>
  </w:style>
  <w:style w:type="character" w:customStyle="1" w:styleId="DateChar">
    <w:name w:val="Date Char"/>
    <w:basedOn w:val="DefaultParagraphFont"/>
    <w:link w:val="Date"/>
    <w:uiPriority w:val="19"/>
    <w:semiHidden/>
    <w:rsid w:val="004E12DD"/>
    <w:rPr>
      <w:rFonts w:ascii="Arial" w:hAnsi="Arial"/>
      <w:color w:val="231F20"/>
      <w:kern w:val="0"/>
      <w:sz w:val="24"/>
      <w:szCs w:val="24"/>
      <w14:ligatures w14:val="none"/>
    </w:rPr>
  </w:style>
  <w:style w:type="paragraph" w:styleId="Footer">
    <w:name w:val="footer"/>
    <w:basedOn w:val="Normal"/>
    <w:link w:val="FooterChar"/>
    <w:uiPriority w:val="99"/>
    <w:semiHidden/>
    <w:rsid w:val="004E12DD"/>
    <w:pPr>
      <w:tabs>
        <w:tab w:val="center" w:pos="4513"/>
        <w:tab w:val="right" w:pos="9026"/>
      </w:tabs>
      <w:ind w:left="-567"/>
    </w:pPr>
    <w:rPr>
      <w:color w:val="768692"/>
      <w:sz w:val="25"/>
    </w:rPr>
  </w:style>
  <w:style w:type="character" w:customStyle="1" w:styleId="FooterChar">
    <w:name w:val="Footer Char"/>
    <w:basedOn w:val="DefaultParagraphFont"/>
    <w:link w:val="Footer"/>
    <w:uiPriority w:val="99"/>
    <w:semiHidden/>
    <w:rsid w:val="004E12DD"/>
    <w:rPr>
      <w:rFonts w:ascii="Arial" w:hAnsi="Arial"/>
      <w:color w:val="768692"/>
      <w:kern w:val="0"/>
      <w:sz w:val="25"/>
      <w:szCs w:val="24"/>
      <w14:ligatures w14:val="none"/>
    </w:rPr>
  </w:style>
  <w:style w:type="paragraph" w:styleId="Caption">
    <w:name w:val="caption"/>
    <w:basedOn w:val="Normal"/>
    <w:next w:val="Normal"/>
    <w:uiPriority w:val="99"/>
    <w:semiHidden/>
    <w:qFormat/>
    <w:rsid w:val="004E12DD"/>
    <w:pPr>
      <w:spacing w:after="200"/>
    </w:pPr>
    <w:rPr>
      <w:iCs/>
      <w:color w:val="005EB8"/>
      <w:szCs w:val="18"/>
    </w:rPr>
  </w:style>
  <w:style w:type="paragraph" w:styleId="TOC1">
    <w:name w:val="toc 1"/>
    <w:basedOn w:val="Normal"/>
    <w:next w:val="Normal"/>
    <w:uiPriority w:val="39"/>
    <w:unhideWhenUsed/>
    <w:rsid w:val="004E12DD"/>
    <w:pPr>
      <w:tabs>
        <w:tab w:val="left" w:pos="454"/>
        <w:tab w:val="right" w:leader="dot" w:pos="8902"/>
      </w:tabs>
      <w:spacing w:before="200" w:after="100"/>
      <w:ind w:left="454" w:hanging="454"/>
    </w:pPr>
  </w:style>
  <w:style w:type="paragraph" w:styleId="TOC2">
    <w:name w:val="toc 2"/>
    <w:basedOn w:val="Normal"/>
    <w:next w:val="Normal"/>
    <w:uiPriority w:val="39"/>
    <w:unhideWhenUsed/>
    <w:rsid w:val="004E12DD"/>
    <w:pPr>
      <w:tabs>
        <w:tab w:val="left" w:pos="1191"/>
        <w:tab w:val="right" w:leader="dot" w:pos="8902"/>
      </w:tabs>
      <w:spacing w:after="100"/>
      <w:ind w:left="1191" w:hanging="737"/>
    </w:pPr>
  </w:style>
  <w:style w:type="paragraph" w:styleId="TOC3">
    <w:name w:val="toc 3"/>
    <w:basedOn w:val="Normal"/>
    <w:next w:val="Normal"/>
    <w:uiPriority w:val="99"/>
    <w:semiHidden/>
    <w:unhideWhenUsed/>
    <w:rsid w:val="004E12DD"/>
    <w:pPr>
      <w:spacing w:after="100"/>
      <w:ind w:left="440"/>
    </w:pPr>
  </w:style>
  <w:style w:type="paragraph" w:styleId="TOC4">
    <w:name w:val="toc 4"/>
    <w:basedOn w:val="Normal"/>
    <w:next w:val="Normal"/>
    <w:uiPriority w:val="99"/>
    <w:semiHidden/>
    <w:unhideWhenUsed/>
    <w:rsid w:val="004E12DD"/>
    <w:pPr>
      <w:spacing w:after="100"/>
      <w:ind w:left="660"/>
    </w:pPr>
  </w:style>
  <w:style w:type="paragraph" w:styleId="TOC5">
    <w:name w:val="toc 5"/>
    <w:basedOn w:val="Normal"/>
    <w:next w:val="Normal"/>
    <w:uiPriority w:val="99"/>
    <w:semiHidden/>
    <w:unhideWhenUsed/>
    <w:rsid w:val="004E12DD"/>
    <w:pPr>
      <w:spacing w:after="100"/>
      <w:ind w:left="880"/>
    </w:pPr>
  </w:style>
  <w:style w:type="paragraph" w:styleId="TOC6">
    <w:name w:val="toc 6"/>
    <w:basedOn w:val="Normal"/>
    <w:next w:val="Normal"/>
    <w:uiPriority w:val="99"/>
    <w:semiHidden/>
    <w:unhideWhenUsed/>
    <w:rsid w:val="004E12DD"/>
    <w:pPr>
      <w:spacing w:after="100"/>
      <w:ind w:left="1100"/>
    </w:pPr>
  </w:style>
  <w:style w:type="paragraph" w:styleId="TOC7">
    <w:name w:val="toc 7"/>
    <w:basedOn w:val="Normal"/>
    <w:next w:val="Normal"/>
    <w:uiPriority w:val="99"/>
    <w:semiHidden/>
    <w:unhideWhenUsed/>
    <w:rsid w:val="004E12DD"/>
    <w:pPr>
      <w:spacing w:after="100"/>
      <w:ind w:left="1320"/>
    </w:pPr>
  </w:style>
  <w:style w:type="paragraph" w:styleId="TOC8">
    <w:name w:val="toc 8"/>
    <w:basedOn w:val="Normal"/>
    <w:next w:val="Normal"/>
    <w:uiPriority w:val="99"/>
    <w:semiHidden/>
    <w:unhideWhenUsed/>
    <w:rsid w:val="004E12DD"/>
    <w:pPr>
      <w:spacing w:after="100"/>
      <w:ind w:left="1540"/>
    </w:pPr>
  </w:style>
  <w:style w:type="paragraph" w:styleId="TOC9">
    <w:name w:val="toc 9"/>
    <w:basedOn w:val="Normal"/>
    <w:next w:val="Normal"/>
    <w:uiPriority w:val="99"/>
    <w:semiHidden/>
    <w:unhideWhenUsed/>
    <w:rsid w:val="004E12DD"/>
    <w:pPr>
      <w:spacing w:after="100"/>
      <w:ind w:left="1760"/>
    </w:pPr>
  </w:style>
  <w:style w:type="paragraph" w:styleId="TOCHeading">
    <w:name w:val="TOC Heading"/>
    <w:basedOn w:val="Heading1"/>
    <w:next w:val="Normal"/>
    <w:uiPriority w:val="99"/>
    <w:rsid w:val="004E12DD"/>
    <w:pPr>
      <w:outlineLvl w:val="9"/>
    </w:pPr>
  </w:style>
  <w:style w:type="paragraph" w:styleId="Header">
    <w:name w:val="header"/>
    <w:basedOn w:val="Normal"/>
    <w:link w:val="HeaderChar"/>
    <w:uiPriority w:val="99"/>
    <w:semiHidden/>
    <w:rsid w:val="004E12DD"/>
    <w:pPr>
      <w:tabs>
        <w:tab w:val="center" w:pos="4513"/>
        <w:tab w:val="right" w:pos="9026"/>
      </w:tabs>
    </w:pPr>
    <w:rPr>
      <w:sz w:val="18"/>
    </w:rPr>
  </w:style>
  <w:style w:type="character" w:customStyle="1" w:styleId="HeaderChar">
    <w:name w:val="Header Char"/>
    <w:basedOn w:val="DefaultParagraphFont"/>
    <w:link w:val="Header"/>
    <w:uiPriority w:val="99"/>
    <w:semiHidden/>
    <w:rsid w:val="004E12DD"/>
    <w:rPr>
      <w:rFonts w:ascii="Arial" w:hAnsi="Arial"/>
      <w:color w:val="231F20"/>
      <w:kern w:val="0"/>
      <w:sz w:val="18"/>
      <w:szCs w:val="24"/>
      <w14:ligatures w14:val="none"/>
    </w:rPr>
  </w:style>
  <w:style w:type="paragraph" w:styleId="ListBullet">
    <w:name w:val="List Bullet"/>
    <w:basedOn w:val="BodyText"/>
    <w:uiPriority w:val="14"/>
    <w:qFormat/>
    <w:rsid w:val="004E12DD"/>
    <w:pPr>
      <w:numPr>
        <w:numId w:val="11"/>
      </w:numPr>
      <w:spacing w:after="50"/>
    </w:pPr>
  </w:style>
  <w:style w:type="paragraph" w:styleId="ListBullet2">
    <w:name w:val="List Bullet 2"/>
    <w:basedOn w:val="BodyText"/>
    <w:uiPriority w:val="14"/>
    <w:qFormat/>
    <w:rsid w:val="004E12DD"/>
    <w:pPr>
      <w:numPr>
        <w:ilvl w:val="1"/>
        <w:numId w:val="11"/>
      </w:numPr>
      <w:spacing w:after="50"/>
    </w:pPr>
  </w:style>
  <w:style w:type="paragraph" w:styleId="ListBullet3">
    <w:name w:val="List Bullet 3"/>
    <w:basedOn w:val="BodyText"/>
    <w:uiPriority w:val="99"/>
    <w:semiHidden/>
    <w:qFormat/>
    <w:rsid w:val="004E12DD"/>
    <w:pPr>
      <w:numPr>
        <w:ilvl w:val="2"/>
        <w:numId w:val="11"/>
      </w:numPr>
      <w:contextualSpacing/>
    </w:pPr>
  </w:style>
  <w:style w:type="paragraph" w:styleId="ListBullet4">
    <w:name w:val="List Bullet 4"/>
    <w:basedOn w:val="BodyText"/>
    <w:uiPriority w:val="99"/>
    <w:semiHidden/>
    <w:rsid w:val="004E12DD"/>
    <w:pPr>
      <w:numPr>
        <w:ilvl w:val="3"/>
        <w:numId w:val="11"/>
      </w:numPr>
      <w:contextualSpacing/>
    </w:pPr>
  </w:style>
  <w:style w:type="paragraph" w:styleId="ListBullet5">
    <w:name w:val="List Bullet 5"/>
    <w:basedOn w:val="BodyText"/>
    <w:uiPriority w:val="99"/>
    <w:semiHidden/>
    <w:rsid w:val="004E12DD"/>
    <w:pPr>
      <w:numPr>
        <w:ilvl w:val="4"/>
        <w:numId w:val="11"/>
      </w:numPr>
      <w:contextualSpacing/>
    </w:pPr>
  </w:style>
  <w:style w:type="paragraph" w:styleId="ListContinue">
    <w:name w:val="List Continue"/>
    <w:basedOn w:val="BodyText"/>
    <w:uiPriority w:val="16"/>
    <w:qFormat/>
    <w:rsid w:val="004E12DD"/>
    <w:pPr>
      <w:spacing w:after="50"/>
      <w:ind w:left="851"/>
    </w:pPr>
  </w:style>
  <w:style w:type="paragraph" w:styleId="ListContinue2">
    <w:name w:val="List Continue 2"/>
    <w:basedOn w:val="BodyText"/>
    <w:uiPriority w:val="16"/>
    <w:qFormat/>
    <w:rsid w:val="004E12DD"/>
    <w:pPr>
      <w:spacing w:after="50"/>
      <w:ind w:left="1134"/>
    </w:pPr>
  </w:style>
  <w:style w:type="paragraph" w:styleId="ListContinue3">
    <w:name w:val="List Continue 3"/>
    <w:basedOn w:val="BodyText"/>
    <w:uiPriority w:val="16"/>
    <w:qFormat/>
    <w:rsid w:val="004E12DD"/>
    <w:pPr>
      <w:spacing w:after="50"/>
      <w:ind w:left="1021"/>
    </w:pPr>
  </w:style>
  <w:style w:type="paragraph" w:styleId="ListContinue4">
    <w:name w:val="List Continue 4"/>
    <w:basedOn w:val="BodyText"/>
    <w:uiPriority w:val="16"/>
    <w:rsid w:val="004E12DD"/>
    <w:pPr>
      <w:spacing w:after="50"/>
      <w:ind w:left="1474"/>
    </w:pPr>
  </w:style>
  <w:style w:type="paragraph" w:styleId="ListContinue5">
    <w:name w:val="List Continue 5"/>
    <w:basedOn w:val="BodyText"/>
    <w:uiPriority w:val="16"/>
    <w:rsid w:val="004E12DD"/>
    <w:pPr>
      <w:spacing w:after="50"/>
      <w:ind w:left="1928"/>
    </w:pPr>
  </w:style>
  <w:style w:type="paragraph" w:styleId="ListNumber">
    <w:name w:val="List Number"/>
    <w:basedOn w:val="BodyText"/>
    <w:uiPriority w:val="16"/>
    <w:qFormat/>
    <w:rsid w:val="004E12DD"/>
    <w:pPr>
      <w:numPr>
        <w:numId w:val="6"/>
      </w:numPr>
      <w:spacing w:after="50"/>
    </w:pPr>
  </w:style>
  <w:style w:type="paragraph" w:styleId="ListNumber2">
    <w:name w:val="List Number 2"/>
    <w:basedOn w:val="BodyText"/>
    <w:uiPriority w:val="16"/>
    <w:qFormat/>
    <w:rsid w:val="004E12DD"/>
    <w:pPr>
      <w:numPr>
        <w:ilvl w:val="1"/>
        <w:numId w:val="6"/>
      </w:numPr>
      <w:spacing w:after="50"/>
    </w:pPr>
  </w:style>
  <w:style w:type="paragraph" w:styleId="ListNumber3">
    <w:name w:val="List Number 3"/>
    <w:basedOn w:val="BodyText"/>
    <w:uiPriority w:val="16"/>
    <w:qFormat/>
    <w:rsid w:val="004E12DD"/>
    <w:pPr>
      <w:numPr>
        <w:ilvl w:val="2"/>
        <w:numId w:val="6"/>
      </w:numPr>
      <w:spacing w:after="50"/>
    </w:pPr>
  </w:style>
  <w:style w:type="paragraph" w:styleId="ListNumber4">
    <w:name w:val="List Number 4"/>
    <w:basedOn w:val="BodyText"/>
    <w:uiPriority w:val="99"/>
    <w:semiHidden/>
    <w:rsid w:val="004E12DD"/>
    <w:pPr>
      <w:numPr>
        <w:ilvl w:val="3"/>
        <w:numId w:val="6"/>
      </w:numPr>
      <w:contextualSpacing/>
    </w:pPr>
  </w:style>
  <w:style w:type="paragraph" w:styleId="ListNumber5">
    <w:name w:val="List Number 5"/>
    <w:basedOn w:val="BodyText"/>
    <w:uiPriority w:val="99"/>
    <w:semiHidden/>
    <w:rsid w:val="004E12DD"/>
    <w:pPr>
      <w:numPr>
        <w:ilvl w:val="4"/>
        <w:numId w:val="6"/>
      </w:numPr>
      <w:contextualSpacing/>
    </w:pPr>
  </w:style>
  <w:style w:type="paragraph" w:styleId="ListParagraph">
    <w:name w:val="List Paragraph"/>
    <w:basedOn w:val="Normal"/>
    <w:uiPriority w:val="34"/>
    <w:qFormat/>
    <w:rsid w:val="004E12DD"/>
    <w:pPr>
      <w:ind w:left="720"/>
      <w:contextualSpacing/>
    </w:pPr>
  </w:style>
  <w:style w:type="numbering" w:customStyle="1" w:styleId="NHSBullets">
    <w:name w:val="NHS Bullets"/>
    <w:basedOn w:val="NoList"/>
    <w:uiPriority w:val="99"/>
    <w:rsid w:val="004E12DD"/>
    <w:pPr>
      <w:numPr>
        <w:numId w:val="11"/>
      </w:numPr>
    </w:pPr>
  </w:style>
  <w:style w:type="numbering" w:customStyle="1" w:styleId="NHSListNumbers">
    <w:name w:val="NHS List Numbers"/>
    <w:basedOn w:val="NHSBullets"/>
    <w:uiPriority w:val="99"/>
    <w:rsid w:val="004E12DD"/>
    <w:pPr>
      <w:numPr>
        <w:numId w:val="13"/>
      </w:numPr>
    </w:pPr>
  </w:style>
  <w:style w:type="paragraph" w:customStyle="1" w:styleId="BodyTextNoSpacing">
    <w:name w:val="Body Text No Spacing"/>
    <w:basedOn w:val="BodyText"/>
    <w:qFormat/>
    <w:rsid w:val="004E12DD"/>
    <w:pPr>
      <w:spacing w:after="0"/>
    </w:pPr>
  </w:style>
  <w:style w:type="paragraph" w:customStyle="1" w:styleId="TableText">
    <w:name w:val="Table Text"/>
    <w:basedOn w:val="Normal"/>
    <w:uiPriority w:val="17"/>
    <w:qFormat/>
    <w:rsid w:val="004E12DD"/>
  </w:style>
  <w:style w:type="paragraph" w:customStyle="1" w:styleId="TableTitle">
    <w:name w:val="Table Title"/>
    <w:basedOn w:val="TableText"/>
    <w:next w:val="TableText"/>
    <w:uiPriority w:val="16"/>
    <w:qFormat/>
    <w:rsid w:val="004E12DD"/>
    <w:rPr>
      <w:b/>
    </w:rPr>
  </w:style>
  <w:style w:type="paragraph" w:customStyle="1" w:styleId="TableBullet">
    <w:name w:val="Table Bullet"/>
    <w:basedOn w:val="TableText"/>
    <w:uiPriority w:val="18"/>
    <w:qFormat/>
    <w:rsid w:val="004E12DD"/>
    <w:pPr>
      <w:numPr>
        <w:numId w:val="15"/>
      </w:numPr>
    </w:pPr>
  </w:style>
  <w:style w:type="paragraph" w:customStyle="1" w:styleId="TableBullet2">
    <w:name w:val="Table Bullet 2"/>
    <w:basedOn w:val="TableBullet"/>
    <w:uiPriority w:val="18"/>
    <w:qFormat/>
    <w:rsid w:val="004E12DD"/>
    <w:pPr>
      <w:numPr>
        <w:ilvl w:val="1"/>
      </w:numPr>
    </w:pPr>
  </w:style>
  <w:style w:type="numbering" w:customStyle="1" w:styleId="NHSTableBullets">
    <w:name w:val="NHS Table Bullets"/>
    <w:basedOn w:val="NoList"/>
    <w:uiPriority w:val="99"/>
    <w:rsid w:val="004E12DD"/>
    <w:pPr>
      <w:numPr>
        <w:numId w:val="15"/>
      </w:numPr>
    </w:pPr>
  </w:style>
  <w:style w:type="table" w:styleId="TableGrid">
    <w:name w:val="Table Grid"/>
    <w:basedOn w:val="TableNormal"/>
    <w:uiPriority w:val="39"/>
    <w:rsid w:val="004E12DD"/>
    <w:pPr>
      <w:spacing w:after="0" w:line="240" w:lineRule="auto"/>
    </w:pPr>
    <w:rPr>
      <w:rFonts w:ascii="Arial" w:hAnsi="Arial"/>
      <w:color w:val="231F20"/>
      <w:kern w:val="0"/>
      <w:sz w:val="24"/>
      <w:szCs w:val="24"/>
      <w14:ligatures w14:val="none"/>
    </w:rPr>
    <w:tblPr>
      <w:tblCellMar>
        <w:left w:w="0" w:type="dxa"/>
        <w:right w:w="0" w:type="dxa"/>
      </w:tblCellMar>
    </w:tblPr>
  </w:style>
  <w:style w:type="character" w:styleId="PlaceholderText">
    <w:name w:val="Placeholder Text"/>
    <w:basedOn w:val="DefaultParagraphFont"/>
    <w:uiPriority w:val="99"/>
    <w:semiHidden/>
    <w:rsid w:val="004E12DD"/>
    <w:rPr>
      <w:color w:val="auto"/>
      <w:bdr w:val="none" w:sz="0" w:space="0" w:color="auto"/>
      <w:shd w:val="clear" w:color="auto" w:fill="FFFF00"/>
    </w:rPr>
  </w:style>
  <w:style w:type="paragraph" w:customStyle="1" w:styleId="LastBullet">
    <w:name w:val="Last Bullet"/>
    <w:basedOn w:val="ListBullet"/>
    <w:next w:val="BodyText"/>
    <w:uiPriority w:val="15"/>
    <w:qFormat/>
    <w:rsid w:val="004E12DD"/>
    <w:pPr>
      <w:spacing w:after="280"/>
    </w:pPr>
  </w:style>
  <w:style w:type="paragraph" w:customStyle="1" w:styleId="LastBullet2">
    <w:name w:val="Last Bullet 2"/>
    <w:basedOn w:val="ListBullet2"/>
    <w:next w:val="BodyText"/>
    <w:uiPriority w:val="15"/>
    <w:qFormat/>
    <w:rsid w:val="004E12DD"/>
    <w:pPr>
      <w:spacing w:after="280"/>
      <w:ind w:left="1135" w:hanging="284"/>
    </w:pPr>
  </w:style>
  <w:style w:type="paragraph" w:customStyle="1" w:styleId="Heading1Numbered">
    <w:name w:val="Heading 1 Numbered"/>
    <w:basedOn w:val="Heading1"/>
    <w:next w:val="BodyText"/>
    <w:uiPriority w:val="9"/>
    <w:qFormat/>
    <w:rsid w:val="004E12DD"/>
    <w:pPr>
      <w:numPr>
        <w:numId w:val="16"/>
      </w:numPr>
    </w:pPr>
  </w:style>
  <w:style w:type="paragraph" w:customStyle="1" w:styleId="Heading2Numbered">
    <w:name w:val="Heading 2 Numbered"/>
    <w:basedOn w:val="Heading2"/>
    <w:next w:val="BodyText"/>
    <w:uiPriority w:val="9"/>
    <w:qFormat/>
    <w:rsid w:val="004E12DD"/>
    <w:pPr>
      <w:numPr>
        <w:ilvl w:val="1"/>
        <w:numId w:val="16"/>
      </w:numPr>
    </w:pPr>
  </w:style>
  <w:style w:type="paragraph" w:customStyle="1" w:styleId="Heading3Numbered">
    <w:name w:val="Heading 3 Numbered"/>
    <w:basedOn w:val="Heading3"/>
    <w:next w:val="BodyText"/>
    <w:uiPriority w:val="9"/>
    <w:qFormat/>
    <w:rsid w:val="004E12DD"/>
    <w:pPr>
      <w:numPr>
        <w:ilvl w:val="2"/>
        <w:numId w:val="16"/>
      </w:numPr>
    </w:pPr>
  </w:style>
  <w:style w:type="numbering" w:customStyle="1" w:styleId="NHSHeadings">
    <w:name w:val="NHS Headings"/>
    <w:basedOn w:val="NoList"/>
    <w:uiPriority w:val="99"/>
    <w:rsid w:val="004E12DD"/>
    <w:pPr>
      <w:numPr>
        <w:numId w:val="16"/>
      </w:numPr>
    </w:pPr>
  </w:style>
  <w:style w:type="numbering" w:customStyle="1" w:styleId="NHSBodyText">
    <w:name w:val="NHS Body Text"/>
    <w:basedOn w:val="NoList"/>
    <w:uiPriority w:val="99"/>
    <w:rsid w:val="004E12DD"/>
    <w:pPr>
      <w:numPr>
        <w:numId w:val="17"/>
      </w:numPr>
    </w:pPr>
  </w:style>
  <w:style w:type="paragraph" w:styleId="BodyText2">
    <w:name w:val="Body Text 2"/>
    <w:basedOn w:val="BodyText"/>
    <w:link w:val="BodyText2Char"/>
    <w:qFormat/>
    <w:rsid w:val="004E12DD"/>
    <w:pPr>
      <w:numPr>
        <w:numId w:val="17"/>
      </w:numPr>
    </w:pPr>
  </w:style>
  <w:style w:type="character" w:customStyle="1" w:styleId="BodyText2Char">
    <w:name w:val="Body Text 2 Char"/>
    <w:basedOn w:val="DefaultParagraphFont"/>
    <w:link w:val="BodyText2"/>
    <w:rsid w:val="004E12DD"/>
    <w:rPr>
      <w:rFonts w:ascii="Arial" w:hAnsi="Arial"/>
      <w:color w:val="231F20"/>
      <w:kern w:val="0"/>
      <w:sz w:val="24"/>
      <w:szCs w:val="24"/>
      <w14:ligatures w14:val="none"/>
    </w:rPr>
  </w:style>
  <w:style w:type="character" w:customStyle="1" w:styleId="Highlight">
    <w:name w:val="Highlight"/>
    <w:basedOn w:val="DefaultParagraphFont"/>
    <w:uiPriority w:val="1"/>
    <w:qFormat/>
    <w:rsid w:val="004E12DD"/>
    <w:rPr>
      <w:color w:val="41B6E6"/>
    </w:rPr>
  </w:style>
  <w:style w:type="paragraph" w:customStyle="1" w:styleId="IntroText">
    <w:name w:val="Intro Text"/>
    <w:basedOn w:val="BodyText"/>
    <w:next w:val="BodyText"/>
    <w:qFormat/>
    <w:rsid w:val="004E12DD"/>
    <w:pPr>
      <w:spacing w:after="0" w:line="400" w:lineRule="exact"/>
    </w:pPr>
    <w:rPr>
      <w:color w:val="005EB8"/>
      <w:sz w:val="28"/>
    </w:rPr>
  </w:style>
  <w:style w:type="table" w:customStyle="1" w:styleId="NHSTableDarkBlue">
    <w:name w:val="NHS Table Dark Blue"/>
    <w:basedOn w:val="TableNormal"/>
    <w:uiPriority w:val="99"/>
    <w:rsid w:val="004E12DD"/>
    <w:pPr>
      <w:spacing w:after="0" w:line="240" w:lineRule="auto"/>
    </w:pPr>
    <w:rPr>
      <w:rFonts w:ascii="Arial" w:hAnsi="Arial"/>
      <w:color w:val="231F20"/>
      <w:kern w:val="0"/>
      <w:sz w:val="24"/>
      <w:szCs w:val="24"/>
      <w14:ligatures w14:val="none"/>
    </w:rPr>
    <w:tblPr>
      <w:tblStyleRowBandSize w:val="1"/>
      <w:tblBorders>
        <w:insideH w:val="single" w:sz="4" w:space="0" w:color="005EB8"/>
        <w:insideV w:val="single" w:sz="4" w:space="0" w:color="005EB8"/>
      </w:tblBorders>
      <w:tblCellMar>
        <w:top w:w="113" w:type="dxa"/>
        <w:bottom w:w="113" w:type="dxa"/>
      </w:tblCellMar>
    </w:tblPr>
    <w:tblStylePr w:type="firstRow">
      <w:rPr>
        <w:rFonts w:ascii="Yu Mincho" w:hAnsi="Yu Mincho"/>
        <w:b/>
        <w:i w:val="0"/>
        <w:color w:val="FFFFFF"/>
        <w:sz w:val="24"/>
      </w:rPr>
      <w:tblPr/>
      <w:tcPr>
        <w:tcBorders>
          <w:top w:val="nil"/>
          <w:left w:val="nil"/>
          <w:bottom w:val="nil"/>
          <w:right w:val="nil"/>
          <w:insideH w:val="nil"/>
          <w:insideV w:val="nil"/>
          <w:tl2br w:val="nil"/>
          <w:tr2bl w:val="nil"/>
        </w:tcBorders>
        <w:shd w:val="clear" w:color="auto" w:fill="005EB8"/>
      </w:tcPr>
    </w:tblStylePr>
    <w:tblStylePr w:type="band1Horz">
      <w:tblPr/>
      <w:tcPr>
        <w:tcBorders>
          <w:top w:val="nil"/>
          <w:left w:val="nil"/>
          <w:bottom w:val="nil"/>
          <w:right w:val="nil"/>
          <w:insideH w:val="nil"/>
          <w:insideV w:val="single" w:sz="4" w:space="0" w:color="005EB8"/>
          <w:tl2br w:val="nil"/>
          <w:tr2bl w:val="nil"/>
        </w:tcBorders>
        <w:shd w:val="clear" w:color="auto" w:fill="CCDFF1"/>
      </w:tcPr>
    </w:tblStylePr>
  </w:style>
  <w:style w:type="table" w:customStyle="1" w:styleId="NHSTableBrightBlue">
    <w:name w:val="NHS Table Bright Blue"/>
    <w:basedOn w:val="NHSTableDarkBlue"/>
    <w:uiPriority w:val="99"/>
    <w:rsid w:val="004E12DD"/>
    <w:tblPr>
      <w:tblBorders>
        <w:insideH w:val="single" w:sz="4" w:space="0" w:color="0072CE"/>
        <w:insideV w:val="single" w:sz="4" w:space="0" w:color="0072CE"/>
      </w:tblBorders>
    </w:tblPr>
    <w:tblStylePr w:type="firstRow">
      <w:rPr>
        <w:rFonts w:ascii="Arial Black" w:hAnsi="Arial Black"/>
        <w:b/>
        <w:i w:val="0"/>
        <w:color w:val="FFFFFF"/>
        <w:sz w:val="24"/>
      </w:rPr>
      <w:tblPr/>
      <w:tcPr>
        <w:tcBorders>
          <w:top w:val="nil"/>
          <w:left w:val="nil"/>
          <w:bottom w:val="nil"/>
          <w:right w:val="nil"/>
          <w:insideH w:val="nil"/>
          <w:insideV w:val="nil"/>
          <w:tl2br w:val="nil"/>
          <w:tr2bl w:val="nil"/>
        </w:tcBorders>
        <w:shd w:val="clear" w:color="auto" w:fill="0072CE"/>
      </w:tcPr>
    </w:tblStylePr>
    <w:tblStylePr w:type="band1Horz">
      <w:tblPr/>
      <w:tcPr>
        <w:tcBorders>
          <w:top w:val="nil"/>
          <w:left w:val="nil"/>
          <w:bottom w:val="nil"/>
          <w:right w:val="nil"/>
          <w:insideH w:val="nil"/>
          <w:insideV w:val="single" w:sz="4" w:space="0" w:color="0072CE"/>
          <w:tl2br w:val="nil"/>
          <w:tr2bl w:val="nil"/>
        </w:tcBorders>
        <w:shd w:val="clear" w:color="auto" w:fill="CCE3F5"/>
      </w:tcPr>
    </w:tblStylePr>
  </w:style>
  <w:style w:type="table" w:customStyle="1" w:styleId="NHSTableLightBlue">
    <w:name w:val="NHS Table Light Blue"/>
    <w:basedOn w:val="NHSTableDarkBlue"/>
    <w:uiPriority w:val="99"/>
    <w:rsid w:val="004E12DD"/>
    <w:tblPr>
      <w:tblBorders>
        <w:insideH w:val="single" w:sz="4" w:space="0" w:color="41B6E6"/>
        <w:insideV w:val="single" w:sz="4" w:space="0" w:color="41B6E6"/>
      </w:tblBorders>
    </w:tblPr>
    <w:tblStylePr w:type="firstRow">
      <w:rPr>
        <w:rFonts w:ascii="Arial Black" w:hAnsi="Arial Black"/>
        <w:b/>
        <w:i w:val="0"/>
        <w:color w:val="FFFFFF"/>
        <w:sz w:val="24"/>
      </w:rPr>
      <w:tblPr/>
      <w:tcPr>
        <w:tcBorders>
          <w:top w:val="nil"/>
          <w:left w:val="nil"/>
          <w:bottom w:val="nil"/>
          <w:right w:val="nil"/>
          <w:insideH w:val="nil"/>
          <w:insideV w:val="nil"/>
          <w:tl2br w:val="nil"/>
          <w:tr2bl w:val="nil"/>
        </w:tcBorders>
        <w:shd w:val="clear" w:color="auto" w:fill="41B6E6"/>
      </w:tcPr>
    </w:tblStylePr>
    <w:tblStylePr w:type="band1Horz">
      <w:tblPr/>
      <w:tcPr>
        <w:tcBorders>
          <w:top w:val="nil"/>
          <w:left w:val="nil"/>
          <w:bottom w:val="nil"/>
          <w:right w:val="nil"/>
          <w:insideH w:val="nil"/>
          <w:insideV w:val="single" w:sz="4" w:space="0" w:color="41B6E6"/>
          <w:tl2br w:val="nil"/>
          <w:tr2bl w:val="nil"/>
        </w:tcBorders>
        <w:shd w:val="clear" w:color="auto" w:fill="D9F0FA"/>
      </w:tcPr>
    </w:tblStylePr>
  </w:style>
  <w:style w:type="table" w:customStyle="1" w:styleId="NHSTableGreen">
    <w:name w:val="NHS Table Green"/>
    <w:basedOn w:val="NHSTableDarkBlue"/>
    <w:uiPriority w:val="99"/>
    <w:rsid w:val="004E12DD"/>
    <w:tblPr>
      <w:tblBorders>
        <w:insideH w:val="single" w:sz="4" w:space="0" w:color="009639"/>
        <w:insideV w:val="single" w:sz="4" w:space="0" w:color="009639"/>
      </w:tblBorders>
    </w:tblPr>
    <w:tblStylePr w:type="firstRow">
      <w:rPr>
        <w:rFonts w:ascii="Arial Black" w:hAnsi="Arial Black"/>
        <w:b/>
        <w:i w:val="0"/>
        <w:color w:val="FFFFFF"/>
        <w:sz w:val="24"/>
      </w:rPr>
      <w:tblPr/>
      <w:tcPr>
        <w:tcBorders>
          <w:top w:val="nil"/>
          <w:left w:val="nil"/>
          <w:bottom w:val="nil"/>
          <w:right w:val="nil"/>
          <w:insideH w:val="nil"/>
          <w:insideV w:val="nil"/>
          <w:tl2br w:val="nil"/>
          <w:tr2bl w:val="nil"/>
        </w:tcBorders>
        <w:shd w:val="clear" w:color="auto" w:fill="009639"/>
      </w:tcPr>
    </w:tblStylePr>
    <w:tblStylePr w:type="band1Horz">
      <w:tblPr/>
      <w:tcPr>
        <w:tcBorders>
          <w:top w:val="nil"/>
          <w:left w:val="nil"/>
          <w:bottom w:val="nil"/>
          <w:right w:val="nil"/>
          <w:insideH w:val="nil"/>
          <w:insideV w:val="single" w:sz="4" w:space="0" w:color="009639"/>
          <w:tl2br w:val="nil"/>
          <w:tr2bl w:val="nil"/>
        </w:tcBorders>
        <w:shd w:val="clear" w:color="auto" w:fill="CCEAD7"/>
      </w:tcPr>
    </w:tblStylePr>
  </w:style>
  <w:style w:type="table" w:customStyle="1" w:styleId="NHSTableDarkRed">
    <w:name w:val="NHS Table Dark Red"/>
    <w:basedOn w:val="NHSTableDarkBlue"/>
    <w:uiPriority w:val="99"/>
    <w:rsid w:val="004E12DD"/>
    <w:tblPr>
      <w:tblBorders>
        <w:insideH w:val="single" w:sz="4" w:space="0" w:color="8A1538"/>
        <w:insideV w:val="single" w:sz="4" w:space="0" w:color="8A1538"/>
      </w:tblBorders>
    </w:tblPr>
    <w:tblStylePr w:type="firstRow">
      <w:rPr>
        <w:rFonts w:ascii="Arial Black" w:hAnsi="Arial Black"/>
        <w:b/>
        <w:i w:val="0"/>
        <w:color w:val="FFFFFF"/>
        <w:sz w:val="24"/>
      </w:rPr>
      <w:tblPr/>
      <w:tcPr>
        <w:tcBorders>
          <w:top w:val="nil"/>
          <w:left w:val="nil"/>
          <w:bottom w:val="nil"/>
          <w:right w:val="nil"/>
          <w:insideH w:val="nil"/>
          <w:insideV w:val="nil"/>
          <w:tl2br w:val="nil"/>
          <w:tr2bl w:val="nil"/>
        </w:tcBorders>
        <w:shd w:val="clear" w:color="auto" w:fill="8A1538"/>
      </w:tcPr>
    </w:tblStylePr>
    <w:tblStylePr w:type="band1Horz">
      <w:tblPr/>
      <w:tcPr>
        <w:tcBorders>
          <w:top w:val="nil"/>
          <w:left w:val="nil"/>
          <w:bottom w:val="nil"/>
          <w:right w:val="nil"/>
          <w:insideH w:val="nil"/>
          <w:insideV w:val="single" w:sz="4" w:space="0" w:color="8A1538"/>
          <w:tl2br w:val="nil"/>
          <w:tr2bl w:val="nil"/>
        </w:tcBorders>
        <w:shd w:val="clear" w:color="auto" w:fill="E8D0D7"/>
      </w:tcPr>
    </w:tblStylePr>
  </w:style>
  <w:style w:type="table" w:customStyle="1" w:styleId="NHSHighlightBoxDarkBlue">
    <w:name w:val="NHS Highlight Box Dark Blue"/>
    <w:basedOn w:val="TableNormal"/>
    <w:uiPriority w:val="99"/>
    <w:rsid w:val="004E12DD"/>
    <w:pPr>
      <w:spacing w:after="0" w:line="240" w:lineRule="auto"/>
    </w:pPr>
    <w:rPr>
      <w:rFonts w:ascii="Arial" w:hAnsi="Arial"/>
      <w:color w:val="231F20"/>
      <w:kern w:val="0"/>
      <w:sz w:val="24"/>
      <w:szCs w:val="24"/>
      <w14:ligatures w14:val="none"/>
    </w:rPr>
    <w:tblPr>
      <w:tblCellMar>
        <w:top w:w="284" w:type="dxa"/>
        <w:left w:w="284" w:type="dxa"/>
        <w:bottom w:w="284" w:type="dxa"/>
        <w:right w:w="284" w:type="dxa"/>
      </w:tblCellMar>
    </w:tblPr>
    <w:tcPr>
      <w:shd w:val="clear" w:color="auto" w:fill="CCDFF1"/>
    </w:tcPr>
  </w:style>
  <w:style w:type="table" w:customStyle="1" w:styleId="NHSHighlightBoxBrightBlue">
    <w:name w:val="NHS Highlight Box Bright Blue"/>
    <w:basedOn w:val="NHSHighlightBoxDarkBlue"/>
    <w:uiPriority w:val="99"/>
    <w:rsid w:val="004E12DD"/>
    <w:tblPr/>
    <w:tcPr>
      <w:shd w:val="clear" w:color="auto" w:fill="CCE3F5"/>
    </w:tcPr>
  </w:style>
  <w:style w:type="table" w:customStyle="1" w:styleId="NHSHighlightBoxLightBlue">
    <w:name w:val="NHS Highlight Box Light Blue"/>
    <w:basedOn w:val="NHSHighlightBoxDarkBlue"/>
    <w:uiPriority w:val="99"/>
    <w:rsid w:val="004E12DD"/>
    <w:tblPr/>
    <w:tcPr>
      <w:shd w:val="clear" w:color="auto" w:fill="D9F0FA"/>
    </w:tcPr>
  </w:style>
  <w:style w:type="table" w:customStyle="1" w:styleId="NHSHighlightBoxGreen">
    <w:name w:val="NHS Highlight Box Green"/>
    <w:basedOn w:val="NHSHighlightBoxDarkBlue"/>
    <w:uiPriority w:val="99"/>
    <w:rsid w:val="004E12DD"/>
    <w:tblPr/>
    <w:tcPr>
      <w:shd w:val="clear" w:color="auto" w:fill="CCEAD7"/>
    </w:tcPr>
  </w:style>
  <w:style w:type="table" w:customStyle="1" w:styleId="NHSHighlightBoxDarkRed">
    <w:name w:val="NHS Highlight Box Dark Red"/>
    <w:basedOn w:val="NHSHighlightBoxDarkBlue"/>
    <w:uiPriority w:val="99"/>
    <w:rsid w:val="004E12DD"/>
    <w:tblPr/>
    <w:tcPr>
      <w:shd w:val="clear" w:color="auto" w:fill="E8D0D7"/>
    </w:tcPr>
  </w:style>
  <w:style w:type="paragraph" w:customStyle="1" w:styleId="BackPage">
    <w:name w:val="Back Page"/>
    <w:basedOn w:val="Normal"/>
    <w:uiPriority w:val="99"/>
    <w:rsid w:val="004E12DD"/>
    <w:rPr>
      <w:color w:val="005EB8"/>
    </w:rPr>
  </w:style>
  <w:style w:type="character" w:styleId="Hyperlink">
    <w:name w:val="Hyperlink"/>
    <w:basedOn w:val="DefaultParagraphFont"/>
    <w:uiPriority w:val="99"/>
    <w:unhideWhenUsed/>
    <w:rsid w:val="004E12DD"/>
    <w:rPr>
      <w:color w:val="0563C1" w:themeColor="hyperlink"/>
      <w:u w:val="single"/>
    </w:rPr>
  </w:style>
  <w:style w:type="paragraph" w:customStyle="1" w:styleId="Classification">
    <w:name w:val="Classification"/>
    <w:basedOn w:val="Normal"/>
    <w:uiPriority w:val="99"/>
    <w:semiHidden/>
    <w:rsid w:val="004E12DD"/>
    <w:rPr>
      <w:color w:val="768692"/>
    </w:rPr>
  </w:style>
  <w:style w:type="table" w:customStyle="1" w:styleId="NHSTableBlue">
    <w:name w:val="NHS Table Blue"/>
    <w:basedOn w:val="NHSTableDarkBlue"/>
    <w:uiPriority w:val="99"/>
    <w:rsid w:val="004E12DD"/>
    <w:tblPr/>
    <w:tblStylePr w:type="firstRow">
      <w:rPr>
        <w:rFonts w:ascii="Arial Black" w:hAnsi="Arial Black"/>
        <w:b/>
        <w:i w:val="0"/>
        <w:color w:val="FFFFFF"/>
        <w:sz w:val="24"/>
      </w:rPr>
      <w:tblPr/>
      <w:tcPr>
        <w:tcBorders>
          <w:top w:val="nil"/>
          <w:left w:val="nil"/>
          <w:bottom w:val="nil"/>
          <w:right w:val="nil"/>
          <w:insideH w:val="nil"/>
          <w:insideV w:val="nil"/>
          <w:tl2br w:val="nil"/>
          <w:tr2bl w:val="nil"/>
        </w:tcBorders>
        <w:shd w:val="clear" w:color="auto" w:fill="003087"/>
      </w:tcPr>
    </w:tblStylePr>
    <w:tblStylePr w:type="band1Horz">
      <w:tblPr/>
      <w:tcPr>
        <w:tcBorders>
          <w:top w:val="nil"/>
          <w:left w:val="nil"/>
          <w:bottom w:val="nil"/>
          <w:right w:val="nil"/>
          <w:insideH w:val="nil"/>
          <w:insideV w:val="single" w:sz="4" w:space="0" w:color="005EB8"/>
          <w:tl2br w:val="nil"/>
          <w:tr2bl w:val="nil"/>
        </w:tcBorders>
        <w:shd w:val="clear" w:color="auto" w:fill="CCD6E7"/>
      </w:tcPr>
    </w:tblStylePr>
  </w:style>
  <w:style w:type="table" w:customStyle="1" w:styleId="NHSHighlightBoxBlue">
    <w:name w:val="NHS Highlight Box Blue"/>
    <w:basedOn w:val="TableNormal"/>
    <w:uiPriority w:val="99"/>
    <w:rsid w:val="004E12DD"/>
    <w:pPr>
      <w:spacing w:after="0" w:line="240" w:lineRule="auto"/>
    </w:pPr>
    <w:rPr>
      <w:rFonts w:ascii="Arial" w:hAnsi="Arial"/>
      <w:color w:val="231F20"/>
      <w:kern w:val="0"/>
      <w:sz w:val="24"/>
      <w:szCs w:val="24"/>
      <w14:ligatures w14:val="none"/>
    </w:rPr>
    <w:tblPr>
      <w:tblCellMar>
        <w:top w:w="284" w:type="dxa"/>
        <w:left w:w="284" w:type="dxa"/>
        <w:bottom w:w="284" w:type="dxa"/>
        <w:right w:w="284" w:type="dxa"/>
      </w:tblCellMar>
    </w:tblPr>
    <w:tcPr>
      <w:shd w:val="clear" w:color="auto" w:fill="CCD6E7"/>
    </w:tcPr>
  </w:style>
  <w:style w:type="character" w:customStyle="1" w:styleId="FooterPipe">
    <w:name w:val="Footer Pipe"/>
    <w:basedOn w:val="DefaultParagraphFont"/>
    <w:uiPriority w:val="99"/>
    <w:rsid w:val="004E12DD"/>
    <w:rPr>
      <w:color w:val="005EB8"/>
    </w:rPr>
  </w:style>
  <w:style w:type="character" w:styleId="CommentReference">
    <w:name w:val="annotation reference"/>
    <w:basedOn w:val="DefaultParagraphFont"/>
    <w:uiPriority w:val="99"/>
    <w:semiHidden/>
    <w:unhideWhenUsed/>
    <w:rsid w:val="004E12DD"/>
    <w:rPr>
      <w:sz w:val="16"/>
      <w:szCs w:val="16"/>
    </w:rPr>
  </w:style>
  <w:style w:type="paragraph" w:styleId="CommentText">
    <w:name w:val="annotation text"/>
    <w:basedOn w:val="Normal"/>
    <w:link w:val="CommentTextChar"/>
    <w:uiPriority w:val="99"/>
    <w:unhideWhenUsed/>
    <w:rsid w:val="004E12DD"/>
    <w:rPr>
      <w:sz w:val="20"/>
      <w:szCs w:val="20"/>
    </w:rPr>
  </w:style>
  <w:style w:type="character" w:customStyle="1" w:styleId="CommentTextChar">
    <w:name w:val="Comment Text Char"/>
    <w:basedOn w:val="DefaultParagraphFont"/>
    <w:link w:val="CommentText"/>
    <w:uiPriority w:val="99"/>
    <w:rsid w:val="004E12DD"/>
    <w:rPr>
      <w:rFonts w:ascii="Arial" w:hAnsi="Arial"/>
      <w:color w:val="231F20"/>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E12DD"/>
    <w:rPr>
      <w:b/>
      <w:bCs/>
    </w:rPr>
  </w:style>
  <w:style w:type="character" w:customStyle="1" w:styleId="CommentSubjectChar">
    <w:name w:val="Comment Subject Char"/>
    <w:basedOn w:val="CommentTextChar"/>
    <w:link w:val="CommentSubject"/>
    <w:uiPriority w:val="99"/>
    <w:semiHidden/>
    <w:rsid w:val="004E12DD"/>
    <w:rPr>
      <w:rFonts w:ascii="Arial" w:hAnsi="Arial"/>
      <w:b/>
      <w:bCs/>
      <w:color w:val="231F20"/>
      <w:kern w:val="0"/>
      <w:sz w:val="20"/>
      <w:szCs w:val="20"/>
      <w14:ligatures w14:val="none"/>
    </w:rPr>
  </w:style>
  <w:style w:type="character" w:styleId="UnresolvedMention">
    <w:name w:val="Unresolved Mention"/>
    <w:basedOn w:val="DefaultParagraphFont"/>
    <w:uiPriority w:val="99"/>
    <w:semiHidden/>
    <w:unhideWhenUsed/>
    <w:rsid w:val="004E12DD"/>
    <w:rPr>
      <w:color w:val="605E5C"/>
      <w:shd w:val="clear" w:color="auto" w:fill="E1DFDD"/>
    </w:rPr>
  </w:style>
  <w:style w:type="paragraph" w:customStyle="1" w:styleId="paragraph">
    <w:name w:val="paragraph"/>
    <w:basedOn w:val="Normal"/>
    <w:rsid w:val="004E12DD"/>
    <w:pPr>
      <w:spacing w:before="100" w:beforeAutospacing="1" w:after="100" w:afterAutospacing="1"/>
    </w:pPr>
    <w:rPr>
      <w:rFonts w:ascii="Times New Roman" w:eastAsia="Times New Roman" w:hAnsi="Times New Roman" w:cs="Times New Roman"/>
      <w:color w:val="auto"/>
      <w:lang w:eastAsia="en-GB"/>
    </w:rPr>
  </w:style>
  <w:style w:type="table" w:styleId="TableGridLight">
    <w:name w:val="Grid Table Light"/>
    <w:basedOn w:val="TableNormal"/>
    <w:uiPriority w:val="40"/>
    <w:rsid w:val="004A18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BC6E40"/>
    <w:rPr>
      <w:rFonts w:ascii="Times New Roman" w:hAnsi="Times New Roman" w:cs="Times New Roman"/>
    </w:rPr>
  </w:style>
  <w:style w:type="paragraph" w:styleId="FootnoteText">
    <w:name w:val="footnote text"/>
    <w:basedOn w:val="Normal"/>
    <w:link w:val="FootnoteTextChar"/>
    <w:uiPriority w:val="99"/>
    <w:semiHidden/>
    <w:unhideWhenUsed/>
    <w:rsid w:val="00857CEF"/>
    <w:rPr>
      <w:sz w:val="20"/>
      <w:szCs w:val="20"/>
    </w:rPr>
  </w:style>
  <w:style w:type="character" w:customStyle="1" w:styleId="FootnoteTextChar">
    <w:name w:val="Footnote Text Char"/>
    <w:basedOn w:val="DefaultParagraphFont"/>
    <w:link w:val="FootnoteText"/>
    <w:uiPriority w:val="99"/>
    <w:semiHidden/>
    <w:rsid w:val="00857CEF"/>
    <w:rPr>
      <w:rFonts w:ascii="Arial" w:hAnsi="Arial"/>
      <w:color w:val="231F20"/>
      <w:kern w:val="0"/>
      <w:sz w:val="20"/>
      <w:szCs w:val="20"/>
      <w14:ligatures w14:val="none"/>
    </w:rPr>
  </w:style>
  <w:style w:type="character" w:styleId="FootnoteReference">
    <w:name w:val="footnote reference"/>
    <w:basedOn w:val="DefaultParagraphFont"/>
    <w:uiPriority w:val="99"/>
    <w:semiHidden/>
    <w:unhideWhenUsed/>
    <w:rsid w:val="00857C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842428">
      <w:bodyDiv w:val="1"/>
      <w:marLeft w:val="0"/>
      <w:marRight w:val="0"/>
      <w:marTop w:val="0"/>
      <w:marBottom w:val="0"/>
      <w:divBdr>
        <w:top w:val="none" w:sz="0" w:space="0" w:color="auto"/>
        <w:left w:val="none" w:sz="0" w:space="0" w:color="auto"/>
        <w:bottom w:val="none" w:sz="0" w:space="0" w:color="auto"/>
        <w:right w:val="none" w:sz="0" w:space="0" w:color="auto"/>
      </w:divBdr>
    </w:div>
    <w:div w:id="256138612">
      <w:bodyDiv w:val="1"/>
      <w:marLeft w:val="0"/>
      <w:marRight w:val="0"/>
      <w:marTop w:val="0"/>
      <w:marBottom w:val="0"/>
      <w:divBdr>
        <w:top w:val="none" w:sz="0" w:space="0" w:color="auto"/>
        <w:left w:val="none" w:sz="0" w:space="0" w:color="auto"/>
        <w:bottom w:val="none" w:sz="0" w:space="0" w:color="auto"/>
        <w:right w:val="none" w:sz="0" w:space="0" w:color="auto"/>
      </w:divBdr>
    </w:div>
    <w:div w:id="280192329">
      <w:bodyDiv w:val="1"/>
      <w:marLeft w:val="0"/>
      <w:marRight w:val="0"/>
      <w:marTop w:val="0"/>
      <w:marBottom w:val="0"/>
      <w:divBdr>
        <w:top w:val="none" w:sz="0" w:space="0" w:color="auto"/>
        <w:left w:val="none" w:sz="0" w:space="0" w:color="auto"/>
        <w:bottom w:val="none" w:sz="0" w:space="0" w:color="auto"/>
        <w:right w:val="none" w:sz="0" w:space="0" w:color="auto"/>
      </w:divBdr>
    </w:div>
    <w:div w:id="461768877">
      <w:bodyDiv w:val="1"/>
      <w:marLeft w:val="0"/>
      <w:marRight w:val="0"/>
      <w:marTop w:val="0"/>
      <w:marBottom w:val="0"/>
      <w:divBdr>
        <w:top w:val="none" w:sz="0" w:space="0" w:color="auto"/>
        <w:left w:val="none" w:sz="0" w:space="0" w:color="auto"/>
        <w:bottom w:val="none" w:sz="0" w:space="0" w:color="auto"/>
        <w:right w:val="none" w:sz="0" w:space="0" w:color="auto"/>
      </w:divBdr>
    </w:div>
    <w:div w:id="548224471">
      <w:bodyDiv w:val="1"/>
      <w:marLeft w:val="0"/>
      <w:marRight w:val="0"/>
      <w:marTop w:val="0"/>
      <w:marBottom w:val="0"/>
      <w:divBdr>
        <w:top w:val="none" w:sz="0" w:space="0" w:color="auto"/>
        <w:left w:val="none" w:sz="0" w:space="0" w:color="auto"/>
        <w:bottom w:val="none" w:sz="0" w:space="0" w:color="auto"/>
        <w:right w:val="none" w:sz="0" w:space="0" w:color="auto"/>
      </w:divBdr>
    </w:div>
    <w:div w:id="606158366">
      <w:bodyDiv w:val="1"/>
      <w:marLeft w:val="0"/>
      <w:marRight w:val="0"/>
      <w:marTop w:val="0"/>
      <w:marBottom w:val="0"/>
      <w:divBdr>
        <w:top w:val="none" w:sz="0" w:space="0" w:color="auto"/>
        <w:left w:val="none" w:sz="0" w:space="0" w:color="auto"/>
        <w:bottom w:val="none" w:sz="0" w:space="0" w:color="auto"/>
        <w:right w:val="none" w:sz="0" w:space="0" w:color="auto"/>
      </w:divBdr>
    </w:div>
    <w:div w:id="611668564">
      <w:bodyDiv w:val="1"/>
      <w:marLeft w:val="0"/>
      <w:marRight w:val="0"/>
      <w:marTop w:val="0"/>
      <w:marBottom w:val="0"/>
      <w:divBdr>
        <w:top w:val="none" w:sz="0" w:space="0" w:color="auto"/>
        <w:left w:val="none" w:sz="0" w:space="0" w:color="auto"/>
        <w:bottom w:val="none" w:sz="0" w:space="0" w:color="auto"/>
        <w:right w:val="none" w:sz="0" w:space="0" w:color="auto"/>
      </w:divBdr>
    </w:div>
    <w:div w:id="821001394">
      <w:bodyDiv w:val="1"/>
      <w:marLeft w:val="0"/>
      <w:marRight w:val="0"/>
      <w:marTop w:val="0"/>
      <w:marBottom w:val="0"/>
      <w:divBdr>
        <w:top w:val="none" w:sz="0" w:space="0" w:color="auto"/>
        <w:left w:val="none" w:sz="0" w:space="0" w:color="auto"/>
        <w:bottom w:val="none" w:sz="0" w:space="0" w:color="auto"/>
        <w:right w:val="none" w:sz="0" w:space="0" w:color="auto"/>
      </w:divBdr>
    </w:div>
    <w:div w:id="1004478186">
      <w:bodyDiv w:val="1"/>
      <w:marLeft w:val="0"/>
      <w:marRight w:val="0"/>
      <w:marTop w:val="0"/>
      <w:marBottom w:val="0"/>
      <w:divBdr>
        <w:top w:val="none" w:sz="0" w:space="0" w:color="auto"/>
        <w:left w:val="none" w:sz="0" w:space="0" w:color="auto"/>
        <w:bottom w:val="none" w:sz="0" w:space="0" w:color="auto"/>
        <w:right w:val="none" w:sz="0" w:space="0" w:color="auto"/>
      </w:divBdr>
    </w:div>
    <w:div w:id="1777867156">
      <w:bodyDiv w:val="1"/>
      <w:marLeft w:val="0"/>
      <w:marRight w:val="0"/>
      <w:marTop w:val="0"/>
      <w:marBottom w:val="0"/>
      <w:divBdr>
        <w:top w:val="none" w:sz="0" w:space="0" w:color="auto"/>
        <w:left w:val="none" w:sz="0" w:space="0" w:color="auto"/>
        <w:bottom w:val="none" w:sz="0" w:space="0" w:color="auto"/>
        <w:right w:val="none" w:sz="0" w:space="0" w:color="auto"/>
      </w:divBdr>
    </w:div>
    <w:div w:id="1795363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ubd.bradford.gov.uk/media/1818/city-2024.pdf" TargetMode="External"/><Relationship Id="rId2" Type="http://schemas.openxmlformats.org/officeDocument/2006/relationships/hyperlink" Target="https://ubd.bradford.gov.uk/media/1818/city-2024.pdf" TargetMode="External"/><Relationship Id="rId1" Type="http://schemas.openxmlformats.org/officeDocument/2006/relationships/hyperlink" Target="https://ubd.bradford.gov.uk/media/1692/2021-census-ward-level-data-for-population-ethnicity-religion-and-household-composition.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wright\AppData\Local\Microsoft\Windows\INetCache\Content.Outlook\IXJ03YOX\bookings-INV-3008-20250807094659%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wright\AppData\Local\Microsoft\Windows\INetCache\Content.Outlook\IXJ03YOX\bookings-INV-3264-20251104120936%20(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Usage July 2025</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Sheet3!$B$1</c:f>
              <c:strCache>
                <c:ptCount val="1"/>
                <c:pt idx="0">
                  <c:v>Usage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950-4E77-ABDB-D45784F83EE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950-4E77-ABDB-D45784F83EE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950-4E77-ABDB-D45784F83EEB}"/>
              </c:ext>
            </c:extLst>
          </c:dPt>
          <c:dPt>
            <c:idx val="3"/>
            <c:bubble3D val="0"/>
            <c:explosion val="2"/>
            <c:spPr>
              <a:solidFill>
                <a:schemeClr val="accent4"/>
              </a:solidFill>
              <a:ln w="19050">
                <a:solidFill>
                  <a:schemeClr val="lt1"/>
                </a:solidFill>
              </a:ln>
              <a:effectLst/>
            </c:spPr>
            <c:extLst>
              <c:ext xmlns:c16="http://schemas.microsoft.com/office/drawing/2014/chart" uri="{C3380CC4-5D6E-409C-BE32-E72D297353CC}">
                <c16:uniqueId val="{00000007-2950-4E77-ABDB-D45784F83EE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950-4E77-ABDB-D45784F83EE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950-4E77-ABDB-D45784F83EE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950-4E77-ABDB-D45784F83EE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950-4E77-ABDB-D45784F83EE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2950-4E77-ABDB-D45784F83EEB}"/>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2950-4E77-ABDB-D45784F83EEB}"/>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2950-4E77-ABDB-D45784F83EEB}"/>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2950-4E77-ABDB-D45784F83EEB}"/>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2950-4E77-ABDB-D45784F83EEB}"/>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2950-4E77-ABDB-D45784F83EEB}"/>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2950-4E77-ABDB-D45784F83EEB}"/>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2950-4E77-ABDB-D45784F83EEB}"/>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2950-4E77-ABDB-D45784F83EEB}"/>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2950-4E77-ABDB-D45784F83EEB}"/>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2950-4E77-ABDB-D45784F83EEB}"/>
              </c:ext>
            </c:extLst>
          </c:dPt>
          <c:dPt>
            <c:idx val="1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27-2950-4E77-ABDB-D45784F83EEB}"/>
              </c:ext>
            </c:extLst>
          </c:dPt>
          <c:dPt>
            <c:idx val="20"/>
            <c:bubble3D val="0"/>
            <c:spPr>
              <a:solidFill>
                <a:schemeClr val="accent3">
                  <a:lumMod val="80000"/>
                </a:schemeClr>
              </a:solidFill>
              <a:ln w="19050">
                <a:solidFill>
                  <a:schemeClr val="lt1"/>
                </a:solidFill>
              </a:ln>
              <a:effectLst/>
            </c:spPr>
            <c:extLst>
              <c:ext xmlns:c16="http://schemas.microsoft.com/office/drawing/2014/chart" uri="{C3380CC4-5D6E-409C-BE32-E72D297353CC}">
                <c16:uniqueId val="{00000029-2950-4E77-ABDB-D45784F83E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Sheet3!$A$2:$A$22</c:f>
              <c:strCache>
                <c:ptCount val="21"/>
                <c:pt idx="0">
                  <c:v>Polish</c:v>
                </c:pt>
                <c:pt idx="1">
                  <c:v>Pushto </c:v>
                </c:pt>
                <c:pt idx="2">
                  <c:v>Arabic</c:v>
                </c:pt>
                <c:pt idx="3">
                  <c:v>Punjabi </c:v>
                </c:pt>
                <c:pt idx="4">
                  <c:v>Slovak</c:v>
                </c:pt>
                <c:pt idx="5">
                  <c:v>Urdu</c:v>
                </c:pt>
                <c:pt idx="6">
                  <c:v>Swahili</c:v>
                </c:pt>
                <c:pt idx="7">
                  <c:v>Amharic</c:v>
                </c:pt>
                <c:pt idx="8">
                  <c:v>Russian</c:v>
                </c:pt>
                <c:pt idx="9">
                  <c:v>Romanian</c:v>
                </c:pt>
                <c:pt idx="10">
                  <c:v>Persian</c:v>
                </c:pt>
                <c:pt idx="11">
                  <c:v>Bengali</c:v>
                </c:pt>
                <c:pt idx="12">
                  <c:v>Dari</c:v>
                </c:pt>
                <c:pt idx="13">
                  <c:v>Czech </c:v>
                </c:pt>
                <c:pt idx="14">
                  <c:v>Italian</c:v>
                </c:pt>
                <c:pt idx="15">
                  <c:v>Pahari-Potwari</c:v>
                </c:pt>
                <c:pt idx="16">
                  <c:v>Hungarian</c:v>
                </c:pt>
                <c:pt idx="17">
                  <c:v>Mandarin Chinese</c:v>
                </c:pt>
                <c:pt idx="18">
                  <c:v>Portuguese Brazilian</c:v>
                </c:pt>
                <c:pt idx="19">
                  <c:v>Bulgarian</c:v>
                </c:pt>
                <c:pt idx="20">
                  <c:v>French</c:v>
                </c:pt>
              </c:strCache>
            </c:strRef>
          </c:cat>
          <c:val>
            <c:numRef>
              <c:f>Sheet3!$B$2:$B$22</c:f>
              <c:numCache>
                <c:formatCode>General</c:formatCode>
                <c:ptCount val="21"/>
                <c:pt idx="0">
                  <c:v>4</c:v>
                </c:pt>
                <c:pt idx="1">
                  <c:v>1</c:v>
                </c:pt>
                <c:pt idx="2">
                  <c:v>11</c:v>
                </c:pt>
                <c:pt idx="3">
                  <c:v>11</c:v>
                </c:pt>
                <c:pt idx="4">
                  <c:v>7</c:v>
                </c:pt>
                <c:pt idx="5">
                  <c:v>8</c:v>
                </c:pt>
                <c:pt idx="6">
                  <c:v>5</c:v>
                </c:pt>
                <c:pt idx="7">
                  <c:v>1</c:v>
                </c:pt>
                <c:pt idx="8">
                  <c:v>1</c:v>
                </c:pt>
                <c:pt idx="9">
                  <c:v>1</c:v>
                </c:pt>
                <c:pt idx="10">
                  <c:v>2</c:v>
                </c:pt>
                <c:pt idx="11">
                  <c:v>7</c:v>
                </c:pt>
                <c:pt idx="12">
                  <c:v>2</c:v>
                </c:pt>
                <c:pt idx="13">
                  <c:v>3</c:v>
                </c:pt>
                <c:pt idx="14">
                  <c:v>2</c:v>
                </c:pt>
                <c:pt idx="15">
                  <c:v>1</c:v>
                </c:pt>
                <c:pt idx="16">
                  <c:v>1</c:v>
                </c:pt>
                <c:pt idx="17">
                  <c:v>1</c:v>
                </c:pt>
                <c:pt idx="18">
                  <c:v>1</c:v>
                </c:pt>
                <c:pt idx="19">
                  <c:v>1</c:v>
                </c:pt>
                <c:pt idx="20">
                  <c:v>1</c:v>
                </c:pt>
              </c:numCache>
            </c:numRef>
          </c:val>
          <c:extLst>
            <c:ext xmlns:c16="http://schemas.microsoft.com/office/drawing/2014/chart" uri="{C3380CC4-5D6E-409C-BE32-E72D297353CC}">
              <c16:uniqueId val="{0000002A-2950-4E77-ABDB-D45784F83EE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49275769691146415"/>
          <c:w val="1"/>
          <c:h val="0.482423275167129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Usage September</a:t>
            </a:r>
            <a:r>
              <a:rPr lang="en-US" b="1" baseline="0"/>
              <a:t> 2025</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Usage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F20-458A-B505-33B206919FE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F20-458A-B505-33B206919FE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F20-458A-B505-33B206919FE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F20-458A-B505-33B206919FE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F20-458A-B505-33B206919FE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F20-458A-B505-33B206919FE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F20-458A-B505-33B206919FE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F20-458A-B505-33B206919FE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F20-458A-B505-33B206919FE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7F20-458A-B505-33B206919FE0}"/>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7F20-458A-B505-33B206919FE0}"/>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7F20-458A-B505-33B206919FE0}"/>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7F20-458A-B505-33B206919FE0}"/>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7F20-458A-B505-33B206919FE0}"/>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7F20-458A-B505-33B206919FE0}"/>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7F20-458A-B505-33B206919FE0}"/>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7F20-458A-B505-33B206919F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Sheet1!$A$2:$A$18</c:f>
              <c:strCache>
                <c:ptCount val="17"/>
                <c:pt idx="0">
                  <c:v>Polish</c:v>
                </c:pt>
                <c:pt idx="1">
                  <c:v>Kurdish</c:v>
                </c:pt>
                <c:pt idx="2">
                  <c:v>Pushto</c:v>
                </c:pt>
                <c:pt idx="3">
                  <c:v>Arabic</c:v>
                </c:pt>
                <c:pt idx="4">
                  <c:v>Punjabi</c:v>
                </c:pt>
                <c:pt idx="5">
                  <c:v>Kurdish</c:v>
                </c:pt>
                <c:pt idx="6">
                  <c:v>Slovak</c:v>
                </c:pt>
                <c:pt idx="7">
                  <c:v>Vietnam</c:v>
                </c:pt>
                <c:pt idx="8">
                  <c:v>Urdu</c:v>
                </c:pt>
                <c:pt idx="9">
                  <c:v>Swahili </c:v>
                </c:pt>
                <c:pt idx="10">
                  <c:v>Amharic</c:v>
                </c:pt>
                <c:pt idx="11">
                  <c:v>Russian</c:v>
                </c:pt>
                <c:pt idx="12">
                  <c:v>Romanian </c:v>
                </c:pt>
                <c:pt idx="13">
                  <c:v>Gujarati</c:v>
                </c:pt>
                <c:pt idx="14">
                  <c:v>Persian</c:v>
                </c:pt>
                <c:pt idx="15">
                  <c:v>Bengali</c:v>
                </c:pt>
                <c:pt idx="16">
                  <c:v>Dari</c:v>
                </c:pt>
              </c:strCache>
            </c:strRef>
          </c:cat>
          <c:val>
            <c:numRef>
              <c:f>Sheet1!$B$2:$B$18</c:f>
              <c:numCache>
                <c:formatCode>General</c:formatCode>
                <c:ptCount val="17"/>
                <c:pt idx="0">
                  <c:v>3</c:v>
                </c:pt>
                <c:pt idx="1">
                  <c:v>2</c:v>
                </c:pt>
                <c:pt idx="2">
                  <c:v>1</c:v>
                </c:pt>
                <c:pt idx="3">
                  <c:v>5</c:v>
                </c:pt>
                <c:pt idx="4">
                  <c:v>7</c:v>
                </c:pt>
                <c:pt idx="5">
                  <c:v>1</c:v>
                </c:pt>
                <c:pt idx="6">
                  <c:v>6</c:v>
                </c:pt>
                <c:pt idx="7">
                  <c:v>1</c:v>
                </c:pt>
                <c:pt idx="8">
                  <c:v>8</c:v>
                </c:pt>
                <c:pt idx="9">
                  <c:v>1</c:v>
                </c:pt>
                <c:pt idx="10">
                  <c:v>2</c:v>
                </c:pt>
                <c:pt idx="11">
                  <c:v>1</c:v>
                </c:pt>
                <c:pt idx="12">
                  <c:v>1</c:v>
                </c:pt>
                <c:pt idx="13">
                  <c:v>1</c:v>
                </c:pt>
                <c:pt idx="14">
                  <c:v>1</c:v>
                </c:pt>
                <c:pt idx="15">
                  <c:v>3</c:v>
                </c:pt>
                <c:pt idx="16">
                  <c:v>1</c:v>
                </c:pt>
              </c:numCache>
            </c:numRef>
          </c:val>
          <c:extLst>
            <c:ext xmlns:c16="http://schemas.microsoft.com/office/drawing/2014/chart" uri="{C3380CC4-5D6E-409C-BE32-E72D297353CC}">
              <c16:uniqueId val="{00000022-7F20-458A-B505-33B206919FE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4CA3771D47DA1468B18FAE01534BD71" ma:contentTypeVersion="15" ma:contentTypeDescription="Create a new document." ma:contentTypeScope="" ma:versionID="ce55b94270759273d1255b915c45645f">
  <xsd:schema xmlns:xsd="http://www.w3.org/2001/XMLSchema" xmlns:xs="http://www.w3.org/2001/XMLSchema" xmlns:p="http://schemas.microsoft.com/office/2006/metadata/properties" xmlns:ns2="f3e7477b-aeef-468e-ba5c-b99a8e43ca0d" xmlns:ns3="34c4fe47-f0d3-4081-bd9a-3253837866b5" targetNamespace="http://schemas.microsoft.com/office/2006/metadata/properties" ma:root="true" ma:fieldsID="d30fbac8ba0939cb46fd58ed4cedb2fc" ns2:_="" ns3:_="">
    <xsd:import namespace="f3e7477b-aeef-468e-ba5c-b99a8e43ca0d"/>
    <xsd:import namespace="34c4fe47-f0d3-4081-bd9a-3253837866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SearchPropertie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e7477b-aeef-468e-ba5c-b99a8e43ca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e91920f-210b-4131-abfa-e8e2fae85c15"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Comments" ma:index="22"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c4fe47-f0d3-4081-bd9a-3253837866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b13b89c-fb62-4422-a868-d1b569205f47}" ma:internalName="TaxCatchAll" ma:showField="CatchAllData" ma:web="34c4fe47-f0d3-4081-bd9a-3253837866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f3e7477b-aeef-468e-ba5c-b99a8e43ca0d" xsi:nil="true"/>
    <lcf76f155ced4ddcb4097134ff3c332f xmlns="f3e7477b-aeef-468e-ba5c-b99a8e43ca0d">
      <Terms xmlns="http://schemas.microsoft.com/office/infopath/2007/PartnerControls"/>
    </lcf76f155ced4ddcb4097134ff3c332f>
    <TaxCatchAll xmlns="34c4fe47-f0d3-4081-bd9a-3253837866b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EC02B-4DD1-463B-950E-E9BF5B46A6B0}">
  <ds:schemaRefs>
    <ds:schemaRef ds:uri="http://schemas.microsoft.com/sharepoint/v3/contenttype/forms"/>
  </ds:schemaRefs>
</ds:datastoreItem>
</file>

<file path=customXml/itemProps2.xml><?xml version="1.0" encoding="utf-8"?>
<ds:datastoreItem xmlns:ds="http://schemas.openxmlformats.org/officeDocument/2006/customXml" ds:itemID="{1DB2053A-FD74-47E8-951E-E947E373A7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e7477b-aeef-468e-ba5c-b99a8e43ca0d"/>
    <ds:schemaRef ds:uri="34c4fe47-f0d3-4081-bd9a-3253837866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D920A9-2B4E-46BD-9023-3D5F15BDB7F3}">
  <ds:schemaRefs>
    <ds:schemaRef ds:uri="http://schemas.microsoft.com/office/2006/metadata/properties"/>
    <ds:schemaRef ds:uri="34c4fe47-f0d3-4081-bd9a-3253837866b5"/>
    <ds:schemaRef ds:uri="f3e7477b-aeef-468e-ba5c-b99a8e43ca0d"/>
    <ds:schemaRef ds:uri="http://schemas.microsoft.com/office/infopath/2007/PartnerControls"/>
    <ds:schemaRef ds:uri="http://purl.org/dc/terms/"/>
    <ds:schemaRef ds:uri="http://purl.org/dc/dcmitype/"/>
    <ds:schemaRef ds:uri="http://schemas.microsoft.com/office/2006/documentManagement/types"/>
    <ds:schemaRef ds:uri="http://schemas.openxmlformats.org/package/2006/metadata/core-properties"/>
    <ds:schemaRef ds:uri="http://www.w3.org/XML/1998/namespace"/>
    <ds:schemaRef ds:uri="http://purl.org/dc/elements/1.1/"/>
  </ds:schemaRefs>
</ds:datastoreItem>
</file>

<file path=customXml/itemProps4.xml><?xml version="1.0" encoding="utf-8"?>
<ds:datastoreItem xmlns:ds="http://schemas.openxmlformats.org/officeDocument/2006/customXml" ds:itemID="{31A24AE9-33BA-492D-9CE3-6D43ADA12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3599</Words>
  <Characters>20517</Characters>
  <Application>Microsoft Office Word</Application>
  <DocSecurity>0</DocSecurity>
  <Lines>170</Lines>
  <Paragraphs>48</Paragraphs>
  <ScaleCrop>false</ScaleCrop>
  <Company/>
  <LinksUpToDate>false</LinksUpToDate>
  <CharactersWithSpaces>24068</CharactersWithSpaces>
  <SharedDoc>false</SharedDoc>
  <HLinks>
    <vt:vector size="18" baseType="variant">
      <vt:variant>
        <vt:i4>95</vt:i4>
      </vt:variant>
      <vt:variant>
        <vt:i4>6</vt:i4>
      </vt:variant>
      <vt:variant>
        <vt:i4>0</vt:i4>
      </vt:variant>
      <vt:variant>
        <vt:i4>5</vt:i4>
      </vt:variant>
      <vt:variant>
        <vt:lpwstr>https://ubd.bradford.gov.uk/media/1818/city-2024.pdf</vt:lpwstr>
      </vt:variant>
      <vt:variant>
        <vt:lpwstr/>
      </vt:variant>
      <vt:variant>
        <vt:i4>95</vt:i4>
      </vt:variant>
      <vt:variant>
        <vt:i4>3</vt:i4>
      </vt:variant>
      <vt:variant>
        <vt:i4>0</vt:i4>
      </vt:variant>
      <vt:variant>
        <vt:i4>5</vt:i4>
      </vt:variant>
      <vt:variant>
        <vt:lpwstr>https://ubd.bradford.gov.uk/media/1818/city-2024.pdf</vt:lpwstr>
      </vt:variant>
      <vt:variant>
        <vt:lpwstr/>
      </vt:variant>
      <vt:variant>
        <vt:i4>7012397</vt:i4>
      </vt:variant>
      <vt:variant>
        <vt:i4>0</vt:i4>
      </vt:variant>
      <vt:variant>
        <vt:i4>0</vt:i4>
      </vt:variant>
      <vt:variant>
        <vt:i4>5</vt:i4>
      </vt:variant>
      <vt:variant>
        <vt:lpwstr>https://ubd.bradford.gov.uk/media/1692/2021-census-ward-level-data-for-population-ethnicity-religion-and-household-composition.pdf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Wright</dc:creator>
  <cp:keywords/>
  <dc:description/>
  <cp:lastModifiedBy>Lisa Wright</cp:lastModifiedBy>
  <cp:revision>2</cp:revision>
  <dcterms:created xsi:type="dcterms:W3CDTF">2026-01-08T16:15:00Z</dcterms:created>
  <dcterms:modified xsi:type="dcterms:W3CDTF">2026-01-08T16:15:00Z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0x01010014CA3771D47DA1468B18FAE01534BD71</vt:lpwstr>
  </property>
  <property fmtid="{D5CDD505-2E9C-101B-9397-08002B2CF9AE}" pid="3" name="MediaServiceImageTags">
    <vt:lpwstr/>
  </property>
</Properties>
</file>