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EEAF6" w:themeColor="accent5" w:themeTint="33"/>
  <w:body>
    <w:p w14:paraId="3C69F058" w14:textId="77777777" w:rsidR="003F70B7" w:rsidRDefault="003F70B7" w:rsidP="004A1882">
      <w:pPr>
        <w:rPr>
          <w:color w:val="4472C4" w:themeColor="accent1"/>
          <w:sz w:val="20"/>
          <w:szCs w:val="20"/>
        </w:rPr>
      </w:pPr>
    </w:p>
    <w:tbl>
      <w:tblPr>
        <w:tblStyle w:val="NHSTableDarkBlue"/>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57"/>
        <w:gridCol w:w="2186"/>
      </w:tblGrid>
      <w:tr w:rsidR="00717B61" w:rsidRPr="00717B61" w14:paraId="05293C58" w14:textId="77777777" w:rsidTr="004F06B9">
        <w:trPr>
          <w:cnfStyle w:val="100000000000" w:firstRow="1" w:lastRow="0" w:firstColumn="0" w:lastColumn="0" w:oddVBand="0" w:evenVBand="0" w:oddHBand="0" w:evenHBand="0" w:firstRowFirstColumn="0" w:firstRowLastColumn="0" w:lastRowFirstColumn="0" w:lastRowLastColumn="0"/>
        </w:trPr>
        <w:tc>
          <w:tcPr>
            <w:tcW w:w="13943" w:type="dxa"/>
            <w:gridSpan w:val="2"/>
            <w:tcBorders>
              <w:top w:val="single" w:sz="4" w:space="0" w:color="auto"/>
              <w:left w:val="single" w:sz="4" w:space="0" w:color="auto"/>
              <w:bottom w:val="single" w:sz="4" w:space="0" w:color="auto"/>
              <w:right w:val="single" w:sz="4" w:space="0" w:color="auto"/>
            </w:tcBorders>
          </w:tcPr>
          <w:p w14:paraId="5FE23C1E" w14:textId="20FD9CCF" w:rsidR="00717B61" w:rsidRPr="00717B61" w:rsidRDefault="00717B61" w:rsidP="004A1882">
            <w:pPr>
              <w:rPr>
                <w:rFonts w:cs="Arial"/>
                <w:color w:val="auto"/>
              </w:rPr>
            </w:pPr>
            <w:r w:rsidRPr="00717B61">
              <w:rPr>
                <w:rFonts w:cs="Arial"/>
                <w:color w:val="FFFFFF" w:themeColor="background1"/>
              </w:rPr>
              <w:t>Domain 1: Commissioned or Provided Services</w:t>
            </w:r>
          </w:p>
        </w:tc>
      </w:tr>
      <w:tr w:rsidR="00717B61" w:rsidRPr="00717B61" w14:paraId="308789C5" w14:textId="77777777" w:rsidTr="00717B61">
        <w:trPr>
          <w:cnfStyle w:val="000000100000" w:firstRow="0" w:lastRow="0" w:firstColumn="0" w:lastColumn="0" w:oddVBand="0" w:evenVBand="0" w:oddHBand="1" w:evenHBand="0" w:firstRowFirstColumn="0" w:firstRowLastColumn="0" w:lastRowFirstColumn="0" w:lastRowLastColumn="0"/>
        </w:trPr>
        <w:tc>
          <w:tcPr>
            <w:tcW w:w="13943" w:type="dxa"/>
            <w:gridSpan w:val="2"/>
            <w:tcBorders>
              <w:top w:val="single" w:sz="4" w:space="0" w:color="auto"/>
              <w:left w:val="single" w:sz="4" w:space="0" w:color="auto"/>
              <w:bottom w:val="single" w:sz="4" w:space="0" w:color="auto"/>
              <w:right w:val="single" w:sz="4" w:space="0" w:color="auto"/>
            </w:tcBorders>
            <w:shd w:val="clear" w:color="auto" w:fill="auto"/>
          </w:tcPr>
          <w:p w14:paraId="52054DD3" w14:textId="3EF24F10" w:rsidR="00717B61" w:rsidRPr="00717B61" w:rsidRDefault="00717B61" w:rsidP="004A1882">
            <w:pPr>
              <w:rPr>
                <w:rFonts w:cs="Arial"/>
                <w:color w:val="auto"/>
              </w:rPr>
            </w:pPr>
            <w:r w:rsidRPr="00717B61">
              <w:rPr>
                <w:b/>
                <w:bCs/>
                <w:color w:val="auto"/>
              </w:rPr>
              <w:t>Service:</w:t>
            </w:r>
            <w:r w:rsidRPr="00717B61">
              <w:rPr>
                <w:color w:val="auto"/>
              </w:rPr>
              <w:t xml:space="preserve"> Intensive Home Treatment Team</w:t>
            </w:r>
          </w:p>
        </w:tc>
      </w:tr>
      <w:tr w:rsidR="00717B61" w:rsidRPr="00717B61" w14:paraId="60024634" w14:textId="77777777" w:rsidTr="006E0FE6">
        <w:tc>
          <w:tcPr>
            <w:tcW w:w="13943" w:type="dxa"/>
            <w:gridSpan w:val="2"/>
            <w:tcBorders>
              <w:top w:val="single" w:sz="4" w:space="0" w:color="auto"/>
              <w:left w:val="single" w:sz="4" w:space="0" w:color="auto"/>
              <w:bottom w:val="single" w:sz="4" w:space="0" w:color="auto"/>
              <w:right w:val="single" w:sz="4" w:space="0" w:color="auto"/>
            </w:tcBorders>
          </w:tcPr>
          <w:p w14:paraId="76240C8C" w14:textId="5CDEB20B" w:rsidR="00717B61" w:rsidRPr="00717B61" w:rsidRDefault="00717B61" w:rsidP="004A1882">
            <w:pPr>
              <w:rPr>
                <w:rFonts w:cs="Arial"/>
                <w:color w:val="auto"/>
              </w:rPr>
            </w:pPr>
            <w:r w:rsidRPr="00717B61">
              <w:rPr>
                <w:b/>
                <w:bCs/>
                <w:color w:val="auto"/>
              </w:rPr>
              <w:t xml:space="preserve">Owner / Dept Lead: </w:t>
            </w:r>
            <w:r w:rsidRPr="00717B61">
              <w:rPr>
                <w:color w:val="auto"/>
              </w:rPr>
              <w:t>Pete Garland (Clinical Manager); Liz Hawrylenko (Bradford IHTT</w:t>
            </w:r>
            <w:r w:rsidR="00BB3693">
              <w:rPr>
                <w:color w:val="auto"/>
              </w:rPr>
              <w:t xml:space="preserve"> Lead</w:t>
            </w:r>
            <w:r w:rsidRPr="00717B61">
              <w:rPr>
                <w:color w:val="auto"/>
              </w:rPr>
              <w:t>); Faye Pilling (Airedale IHTT</w:t>
            </w:r>
            <w:r w:rsidR="00BB3693">
              <w:rPr>
                <w:color w:val="auto"/>
              </w:rPr>
              <w:t xml:space="preserve"> Lead</w:t>
            </w:r>
            <w:r w:rsidRPr="00717B61">
              <w:rPr>
                <w:color w:val="auto"/>
              </w:rPr>
              <w:t>); Abi Larvin (EDI)</w:t>
            </w:r>
          </w:p>
        </w:tc>
      </w:tr>
      <w:tr w:rsidR="00717B61" w:rsidRPr="00717B61" w14:paraId="1DB460B8" w14:textId="1AA12C7C" w:rsidTr="006E0FE6">
        <w:trPr>
          <w:cnfStyle w:val="000000100000" w:firstRow="0" w:lastRow="0" w:firstColumn="0" w:lastColumn="0" w:oddVBand="0" w:evenVBand="0" w:oddHBand="1" w:evenHBand="0" w:firstRowFirstColumn="0" w:firstRowLastColumn="0" w:lastRowFirstColumn="0" w:lastRowLastColumn="0"/>
        </w:trPr>
        <w:tc>
          <w:tcPr>
            <w:tcW w:w="11757" w:type="dxa"/>
            <w:tcBorders>
              <w:top w:val="single" w:sz="4" w:space="0" w:color="auto"/>
              <w:left w:val="single" w:sz="4" w:space="0" w:color="auto"/>
              <w:bottom w:val="single" w:sz="4" w:space="0" w:color="auto"/>
              <w:right w:val="single" w:sz="4" w:space="0" w:color="auto"/>
            </w:tcBorders>
            <w:shd w:val="clear" w:color="auto" w:fill="005EB8"/>
          </w:tcPr>
          <w:p w14:paraId="421AEAF4" w14:textId="5E30484F" w:rsidR="006934AF" w:rsidRPr="00EB2EF8" w:rsidRDefault="006934AF" w:rsidP="004A1882">
            <w:pPr>
              <w:rPr>
                <w:b/>
                <w:bCs/>
                <w:color w:val="FFFFFF" w:themeColor="background1"/>
              </w:rPr>
            </w:pPr>
            <w:r w:rsidRPr="00EB2EF8">
              <w:rPr>
                <w:rFonts w:cs="Arial"/>
                <w:b/>
                <w:bCs/>
                <w:color w:val="FFFFFF" w:themeColor="background1"/>
              </w:rPr>
              <w:t>Outcome 1A: Patients (service users) have required levels of access to the service</w:t>
            </w:r>
          </w:p>
        </w:tc>
        <w:tc>
          <w:tcPr>
            <w:tcW w:w="2186" w:type="dxa"/>
            <w:tcBorders>
              <w:top w:val="single" w:sz="4" w:space="0" w:color="auto"/>
              <w:left w:val="single" w:sz="4" w:space="0" w:color="auto"/>
              <w:bottom w:val="single" w:sz="4" w:space="0" w:color="auto"/>
              <w:right w:val="single" w:sz="4" w:space="0" w:color="auto"/>
            </w:tcBorders>
            <w:shd w:val="clear" w:color="auto" w:fill="005EB8"/>
          </w:tcPr>
          <w:p w14:paraId="343443B3" w14:textId="63D07319" w:rsidR="006934AF" w:rsidRPr="00EB2EF8" w:rsidRDefault="006934AF" w:rsidP="004A1882">
            <w:pPr>
              <w:rPr>
                <w:rFonts w:cs="Arial"/>
                <w:b/>
                <w:bCs/>
                <w:color w:val="FFFFFF" w:themeColor="background1"/>
              </w:rPr>
            </w:pPr>
            <w:r w:rsidRPr="00EB2EF8">
              <w:rPr>
                <w:rFonts w:cs="Arial"/>
                <w:b/>
                <w:bCs/>
                <w:color w:val="FFFFFF" w:themeColor="background1"/>
              </w:rPr>
              <w:t xml:space="preserve">Score: </w:t>
            </w:r>
            <w:r w:rsidR="00162039">
              <w:rPr>
                <w:rFonts w:cs="Arial"/>
                <w:b/>
                <w:bCs/>
                <w:color w:val="FFFFFF" w:themeColor="background1"/>
              </w:rPr>
              <w:t>2</w:t>
            </w:r>
          </w:p>
        </w:tc>
      </w:tr>
      <w:tr w:rsidR="00717B61" w:rsidRPr="00717B61" w14:paraId="7ED37CEF" w14:textId="5415FBC6" w:rsidTr="006E0FE6">
        <w:tc>
          <w:tcPr>
            <w:tcW w:w="13943" w:type="dxa"/>
            <w:gridSpan w:val="2"/>
            <w:tcBorders>
              <w:top w:val="single" w:sz="4" w:space="0" w:color="auto"/>
            </w:tcBorders>
          </w:tcPr>
          <w:p w14:paraId="13212554" w14:textId="6A954094" w:rsidR="006934AF" w:rsidRPr="00717B61" w:rsidRDefault="006934AF" w:rsidP="003F70B7">
            <w:pPr>
              <w:rPr>
                <w:b/>
                <w:bCs/>
                <w:color w:val="auto"/>
              </w:rPr>
            </w:pPr>
            <w:r w:rsidRPr="00717B61">
              <w:rPr>
                <w:b/>
                <w:bCs/>
                <w:color w:val="auto"/>
              </w:rPr>
              <w:t>Evidence:</w:t>
            </w:r>
          </w:p>
          <w:p w14:paraId="088B4485" w14:textId="6C5C6F4D" w:rsidR="00A757D0" w:rsidRDefault="00162039" w:rsidP="003F70B7">
            <w:pPr>
              <w:rPr>
                <w:color w:val="auto"/>
              </w:rPr>
            </w:pPr>
            <w:r w:rsidRPr="00162039">
              <w:rPr>
                <w:color w:val="auto"/>
              </w:rPr>
              <w:t>The Intensive Home Treatment Team provides an alternative to hospital admission managing risk</w:t>
            </w:r>
            <w:r>
              <w:rPr>
                <w:color w:val="auto"/>
              </w:rPr>
              <w:t xml:space="preserve"> </w:t>
            </w:r>
            <w:r w:rsidRPr="00162039">
              <w:rPr>
                <w:color w:val="auto"/>
              </w:rPr>
              <w:t xml:space="preserve">and crisis. </w:t>
            </w:r>
            <w:r>
              <w:rPr>
                <w:color w:val="auto"/>
              </w:rPr>
              <w:t>They</w:t>
            </w:r>
            <w:r w:rsidRPr="00162039">
              <w:rPr>
                <w:color w:val="auto"/>
              </w:rPr>
              <w:t xml:space="preserve"> support service users and their families in an intensive manner at the most acute</w:t>
            </w:r>
            <w:r>
              <w:rPr>
                <w:color w:val="auto"/>
              </w:rPr>
              <w:t xml:space="preserve"> </w:t>
            </w:r>
            <w:r w:rsidRPr="00162039">
              <w:rPr>
                <w:color w:val="auto"/>
              </w:rPr>
              <w:t>phase of their journey through mental health services</w:t>
            </w:r>
            <w:r w:rsidR="00A127A4">
              <w:rPr>
                <w:color w:val="auto"/>
              </w:rPr>
              <w:t xml:space="preserve"> using </w:t>
            </w:r>
            <w:r w:rsidRPr="00162039">
              <w:rPr>
                <w:color w:val="auto"/>
              </w:rPr>
              <w:t>a flexible and holistic approach,</w:t>
            </w:r>
            <w:r>
              <w:rPr>
                <w:color w:val="auto"/>
              </w:rPr>
              <w:t xml:space="preserve"> </w:t>
            </w:r>
            <w:r w:rsidRPr="00162039">
              <w:rPr>
                <w:color w:val="auto"/>
              </w:rPr>
              <w:t xml:space="preserve">personalised and tailored to the individual. </w:t>
            </w:r>
            <w:r w:rsidR="00A127A4" w:rsidRPr="00717B61">
              <w:rPr>
                <w:color w:val="auto"/>
              </w:rPr>
              <w:t>The Intensive Home Treatment Team (IHTT) – comprised of the Bradford and Airedale teams - hold approximately 870 appointments per month supporting adults who are experiencing severe mental illness.</w:t>
            </w:r>
            <w:r w:rsidR="00A127A4">
              <w:rPr>
                <w:color w:val="auto"/>
              </w:rPr>
              <w:t xml:space="preserve"> </w:t>
            </w:r>
            <w:r w:rsidRPr="00162039">
              <w:rPr>
                <w:color w:val="auto"/>
              </w:rPr>
              <w:t xml:space="preserve">The team </w:t>
            </w:r>
            <w:r w:rsidR="00A127A4">
              <w:rPr>
                <w:color w:val="auto"/>
              </w:rPr>
              <w:t xml:space="preserve">also </w:t>
            </w:r>
            <w:r w:rsidRPr="00162039">
              <w:rPr>
                <w:color w:val="auto"/>
              </w:rPr>
              <w:t>works closely with and signposts to partner</w:t>
            </w:r>
            <w:r>
              <w:rPr>
                <w:color w:val="auto"/>
              </w:rPr>
              <w:t xml:space="preserve"> </w:t>
            </w:r>
            <w:r w:rsidRPr="00162039">
              <w:rPr>
                <w:color w:val="auto"/>
              </w:rPr>
              <w:t>agencies and other NHS teams.</w:t>
            </w:r>
            <w:r w:rsidR="00A127A4">
              <w:rPr>
                <w:color w:val="auto"/>
              </w:rPr>
              <w:t xml:space="preserve"> </w:t>
            </w:r>
          </w:p>
          <w:p w14:paraId="3F61C65C" w14:textId="4094410A" w:rsidR="000C574B" w:rsidRDefault="000C574B" w:rsidP="003F70B7">
            <w:pPr>
              <w:rPr>
                <w:color w:val="auto"/>
              </w:rPr>
            </w:pPr>
            <w:r>
              <w:rPr>
                <w:color w:val="auto"/>
              </w:rPr>
              <w:br/>
            </w:r>
            <w:r w:rsidRPr="00717B61">
              <w:rPr>
                <w:color w:val="auto"/>
              </w:rPr>
              <w:t xml:space="preserve">Referrals are made via an internal referral, such as via Community Mental Health Teams, First Response or the Acute Liaison Psychiatry Service (ALPS). </w:t>
            </w:r>
            <w:r>
              <w:rPr>
                <w:color w:val="auto"/>
              </w:rPr>
              <w:t xml:space="preserve">Key to removing barriers to access for crisis services, including IHTT, is the First Response. Traditionally, </w:t>
            </w:r>
            <w:r w:rsidR="00B00F37">
              <w:rPr>
                <w:color w:val="auto"/>
              </w:rPr>
              <w:t>people in mental health crisis would need to have been referred via their GP, Community Mental Health teams, or other healthcare professionals. However, t</w:t>
            </w:r>
            <w:r>
              <w:rPr>
                <w:color w:val="auto"/>
              </w:rPr>
              <w:t>he First Response</w:t>
            </w:r>
            <w:r w:rsidRPr="000C574B">
              <w:rPr>
                <w:color w:val="auto"/>
              </w:rPr>
              <w:t xml:space="preserve"> </w:t>
            </w:r>
            <w:r>
              <w:rPr>
                <w:color w:val="auto"/>
              </w:rPr>
              <w:t xml:space="preserve">phone line is </w:t>
            </w:r>
            <w:r w:rsidRPr="000C574B">
              <w:rPr>
                <w:color w:val="auto"/>
              </w:rPr>
              <w:t>available 24/7 and is open to anyone as self-referral</w:t>
            </w:r>
            <w:r w:rsidR="00B00F37">
              <w:rPr>
                <w:color w:val="auto"/>
              </w:rPr>
              <w:t xml:space="preserve"> who </w:t>
            </w:r>
            <w:r w:rsidR="00B00F37" w:rsidRPr="00B00F37">
              <w:rPr>
                <w:color w:val="auto"/>
              </w:rPr>
              <w:t>providing rapid clinical</w:t>
            </w:r>
            <w:r w:rsidR="00B00F37">
              <w:rPr>
                <w:color w:val="auto"/>
              </w:rPr>
              <w:t xml:space="preserve"> </w:t>
            </w:r>
            <w:r w:rsidR="00B00F37" w:rsidRPr="00B00F37">
              <w:rPr>
                <w:color w:val="auto"/>
              </w:rPr>
              <w:t xml:space="preserve">assessment, clinical intervention and </w:t>
            </w:r>
            <w:proofErr w:type="gramStart"/>
            <w:r w:rsidR="00B00F37" w:rsidRPr="00B00F37">
              <w:rPr>
                <w:color w:val="auto"/>
              </w:rPr>
              <w:t>sign-posting</w:t>
            </w:r>
            <w:proofErr w:type="gramEnd"/>
            <w:r w:rsidR="00B00F37" w:rsidRPr="00B00F37">
              <w:rPr>
                <w:color w:val="auto"/>
              </w:rPr>
              <w:t xml:space="preserve">, </w:t>
            </w:r>
            <w:r w:rsidR="00B00F37">
              <w:rPr>
                <w:color w:val="auto"/>
              </w:rPr>
              <w:t>a</w:t>
            </w:r>
            <w:r w:rsidR="00B00F37" w:rsidRPr="00B00F37">
              <w:rPr>
                <w:color w:val="auto"/>
              </w:rPr>
              <w:t>longside continued crisis intervention</w:t>
            </w:r>
            <w:r w:rsidR="00B00F37">
              <w:rPr>
                <w:color w:val="auto"/>
              </w:rPr>
              <w:t xml:space="preserve"> </w:t>
            </w:r>
            <w:r w:rsidR="00B00F37" w:rsidRPr="00B00F37">
              <w:rPr>
                <w:color w:val="auto"/>
              </w:rPr>
              <w:t>from IHTT</w:t>
            </w:r>
            <w:r w:rsidR="00B00F37">
              <w:rPr>
                <w:color w:val="auto"/>
              </w:rPr>
              <w:t>. People experiencing mental health crisis’ may be too unwell to seek support themselves, and therefore the service is</w:t>
            </w:r>
            <w:r w:rsidRPr="000C574B">
              <w:rPr>
                <w:color w:val="auto"/>
              </w:rPr>
              <w:t xml:space="preserve"> also available to family </w:t>
            </w:r>
            <w:r w:rsidR="008A5669">
              <w:rPr>
                <w:color w:val="auto"/>
              </w:rPr>
              <w:t>and</w:t>
            </w:r>
            <w:r w:rsidRPr="000C574B">
              <w:rPr>
                <w:color w:val="auto"/>
              </w:rPr>
              <w:t xml:space="preserve"> carers. </w:t>
            </w:r>
            <w:r w:rsidR="00B00F37">
              <w:rPr>
                <w:color w:val="auto"/>
              </w:rPr>
              <w:t xml:space="preserve">Service users, their families and carers </w:t>
            </w:r>
            <w:proofErr w:type="gramStart"/>
            <w:r w:rsidR="00B00F37">
              <w:rPr>
                <w:color w:val="auto"/>
              </w:rPr>
              <w:t>are a</w:t>
            </w:r>
            <w:r w:rsidRPr="000C574B">
              <w:rPr>
                <w:color w:val="auto"/>
              </w:rPr>
              <w:t>ble to</w:t>
            </w:r>
            <w:proofErr w:type="gramEnd"/>
            <w:r w:rsidRPr="000C574B">
              <w:rPr>
                <w:color w:val="auto"/>
              </w:rPr>
              <w:t xml:space="preserve"> use when required, as often as neede</w:t>
            </w:r>
            <w:r w:rsidR="00B00F37">
              <w:rPr>
                <w:color w:val="auto"/>
              </w:rPr>
              <w:t>d. While improving access, it has also reduced the numbers of people attending A</w:t>
            </w:r>
            <w:r w:rsidR="008A5669">
              <w:rPr>
                <w:color w:val="auto"/>
              </w:rPr>
              <w:t xml:space="preserve"> and </w:t>
            </w:r>
            <w:r w:rsidR="00B00F37">
              <w:rPr>
                <w:color w:val="auto"/>
              </w:rPr>
              <w:t>E, detentions under section 136 and reduced demand on police and ambulance services and has been highlighted as a national case study (</w:t>
            </w:r>
            <w:hyperlink r:id="rId5" w:tooltip="https://www.england.nhs.uk/mental-health/case-studies/crisis-mental-health-case-studies/bradford-first-response/" w:history="1">
              <w:r w:rsidR="00B00F37">
                <w:rPr>
                  <w:rStyle w:val="Hyperlink"/>
                </w:rPr>
                <w:t>Bradford First Response</w:t>
              </w:r>
            </w:hyperlink>
            <w:r w:rsidR="00B00F37" w:rsidRPr="000C574B">
              <w:rPr>
                <w:color w:val="auto"/>
              </w:rPr>
              <w:t>)</w:t>
            </w:r>
            <w:r w:rsidR="00B00F37">
              <w:rPr>
                <w:color w:val="auto"/>
              </w:rPr>
              <w:t>.</w:t>
            </w:r>
          </w:p>
          <w:p w14:paraId="2E186FF4" w14:textId="77777777" w:rsidR="00957539" w:rsidRDefault="00957539" w:rsidP="003F70B7">
            <w:pPr>
              <w:rPr>
                <w:color w:val="auto"/>
              </w:rPr>
            </w:pPr>
          </w:p>
          <w:p w14:paraId="6475E0E6" w14:textId="329F8429" w:rsidR="00A2079C" w:rsidRPr="00A2079C" w:rsidRDefault="00957539" w:rsidP="00A2079C">
            <w:pPr>
              <w:rPr>
                <w:color w:val="auto"/>
              </w:rPr>
            </w:pPr>
            <w:r>
              <w:rPr>
                <w:color w:val="auto"/>
              </w:rPr>
              <w:t xml:space="preserve">The </w:t>
            </w:r>
            <w:r w:rsidR="008A5669">
              <w:rPr>
                <w:color w:val="auto"/>
              </w:rPr>
              <w:t>BDCFT</w:t>
            </w:r>
            <w:r>
              <w:rPr>
                <w:color w:val="auto"/>
              </w:rPr>
              <w:t xml:space="preserve"> comm</w:t>
            </w:r>
            <w:r w:rsidR="00A2079C">
              <w:rPr>
                <w:color w:val="auto"/>
              </w:rPr>
              <w:t>unications</w:t>
            </w:r>
            <w:r>
              <w:rPr>
                <w:color w:val="auto"/>
              </w:rPr>
              <w:t xml:space="preserve"> team have </w:t>
            </w:r>
            <w:r w:rsidR="00A2079C">
              <w:rPr>
                <w:color w:val="auto"/>
              </w:rPr>
              <w:t>clear communication planning</w:t>
            </w:r>
            <w:r>
              <w:rPr>
                <w:color w:val="auto"/>
              </w:rPr>
              <w:t xml:space="preserve"> to promote the service</w:t>
            </w:r>
            <w:r w:rsidR="00A2079C">
              <w:rPr>
                <w:color w:val="auto"/>
              </w:rPr>
              <w:t xml:space="preserve"> both internally and externally</w:t>
            </w:r>
            <w:r>
              <w:rPr>
                <w:color w:val="auto"/>
              </w:rPr>
              <w:t xml:space="preserve">, alongside the 111 Mental Health option. </w:t>
            </w:r>
            <w:r w:rsidR="00A2079C">
              <w:rPr>
                <w:color w:val="auto"/>
              </w:rPr>
              <w:t>This includes cascading information to local partnerships, such as Healthy Minds and the Cellar Trust. P</w:t>
            </w:r>
            <w:r w:rsidR="00A2079C" w:rsidRPr="00A2079C">
              <w:rPr>
                <w:color w:val="auto"/>
              </w:rPr>
              <w:t>rinted materials</w:t>
            </w:r>
            <w:r w:rsidR="00A2079C">
              <w:rPr>
                <w:color w:val="auto"/>
              </w:rPr>
              <w:t xml:space="preserve"> are also shared with </w:t>
            </w:r>
            <w:r w:rsidR="00A2079C" w:rsidRPr="00A2079C">
              <w:rPr>
                <w:color w:val="auto"/>
              </w:rPr>
              <w:t>GP surgeries and voluntary partners</w:t>
            </w:r>
            <w:r w:rsidR="00A2079C">
              <w:rPr>
                <w:color w:val="auto"/>
              </w:rPr>
              <w:t xml:space="preserve"> and t</w:t>
            </w:r>
            <w:r w:rsidR="00A2079C" w:rsidRPr="00A2079C">
              <w:rPr>
                <w:color w:val="auto"/>
              </w:rPr>
              <w:t xml:space="preserve">he service is regularly promoted on our social media channels </w:t>
            </w:r>
            <w:r w:rsidR="00A2079C">
              <w:rPr>
                <w:color w:val="auto"/>
              </w:rPr>
              <w:t xml:space="preserve">and has </w:t>
            </w:r>
            <w:r w:rsidR="00A2079C" w:rsidRPr="00A2079C">
              <w:rPr>
                <w:color w:val="auto"/>
              </w:rPr>
              <w:t>a dedicated landing page on the Trust website</w:t>
            </w:r>
            <w:r w:rsidR="00A2079C">
              <w:rPr>
                <w:color w:val="auto"/>
              </w:rPr>
              <w:t xml:space="preserve">. The </w:t>
            </w:r>
            <w:proofErr w:type="gramStart"/>
            <w:r w:rsidR="00A2079C">
              <w:rPr>
                <w:color w:val="auto"/>
              </w:rPr>
              <w:t>team work</w:t>
            </w:r>
            <w:proofErr w:type="gramEnd"/>
            <w:r w:rsidR="00A2079C">
              <w:rPr>
                <w:color w:val="auto"/>
              </w:rPr>
              <w:t xml:space="preserve"> in partnership with the Healthy Minds communication team to provide printed materials for the service </w:t>
            </w:r>
            <w:r w:rsidR="0055193D">
              <w:rPr>
                <w:color w:val="auto"/>
              </w:rPr>
              <w:t>at key events across the system.</w:t>
            </w:r>
            <w:r w:rsidR="00A2079C">
              <w:rPr>
                <w:color w:val="auto"/>
              </w:rPr>
              <w:t xml:space="preserve"> A</w:t>
            </w:r>
            <w:r w:rsidR="00A2079C" w:rsidRPr="00A2079C">
              <w:rPr>
                <w:color w:val="auto"/>
              </w:rPr>
              <w:t xml:space="preserve">wareness </w:t>
            </w:r>
            <w:r w:rsidR="00A2079C" w:rsidRPr="00A2079C">
              <w:rPr>
                <w:color w:val="auto"/>
              </w:rPr>
              <w:lastRenderedPageBreak/>
              <w:t>days, such as Time to Talk</w:t>
            </w:r>
            <w:r w:rsidR="00A2079C">
              <w:rPr>
                <w:color w:val="auto"/>
              </w:rPr>
              <w:t xml:space="preserve"> and </w:t>
            </w:r>
            <w:r w:rsidR="00A2079C" w:rsidRPr="00A2079C">
              <w:rPr>
                <w:color w:val="auto"/>
              </w:rPr>
              <w:t>World Mental Health Day</w:t>
            </w:r>
            <w:r w:rsidR="00A2079C">
              <w:rPr>
                <w:color w:val="auto"/>
              </w:rPr>
              <w:t xml:space="preserve">, are used as opportunities to promote the </w:t>
            </w:r>
            <w:r w:rsidR="00A2079C" w:rsidRPr="00A2079C">
              <w:rPr>
                <w:color w:val="auto"/>
              </w:rPr>
              <w:t xml:space="preserve">service </w:t>
            </w:r>
            <w:r w:rsidR="00A2079C">
              <w:rPr>
                <w:color w:val="auto"/>
              </w:rPr>
              <w:t>via</w:t>
            </w:r>
            <w:r w:rsidR="00A2079C" w:rsidRPr="00A2079C">
              <w:rPr>
                <w:color w:val="auto"/>
              </w:rPr>
              <w:t xml:space="preserve"> social media and internal channels. </w:t>
            </w:r>
            <w:r w:rsidR="00A2079C">
              <w:rPr>
                <w:color w:val="auto"/>
              </w:rPr>
              <w:t xml:space="preserve">The </w:t>
            </w:r>
            <w:r w:rsidR="00A2079C" w:rsidRPr="00A2079C">
              <w:rPr>
                <w:color w:val="auto"/>
              </w:rPr>
              <w:t xml:space="preserve">First Response </w:t>
            </w:r>
            <w:r w:rsidR="00A2079C">
              <w:rPr>
                <w:color w:val="auto"/>
              </w:rPr>
              <w:t xml:space="preserve">team </w:t>
            </w:r>
            <w:r w:rsidR="00A2079C" w:rsidRPr="00A2079C">
              <w:rPr>
                <w:color w:val="auto"/>
              </w:rPr>
              <w:t>is also referenced in relevant mental health press releases.</w:t>
            </w:r>
          </w:p>
          <w:p w14:paraId="60F8F897" w14:textId="77777777" w:rsidR="00957539" w:rsidRDefault="00957539" w:rsidP="003F70B7">
            <w:pPr>
              <w:rPr>
                <w:color w:val="auto"/>
              </w:rPr>
            </w:pPr>
          </w:p>
          <w:p w14:paraId="417D83BF" w14:textId="12900310" w:rsidR="00A127A4" w:rsidRDefault="004C2900" w:rsidP="004D0D1D">
            <w:pPr>
              <w:rPr>
                <w:color w:val="auto"/>
              </w:rPr>
            </w:pPr>
            <w:r>
              <w:rPr>
                <w:color w:val="auto"/>
              </w:rPr>
              <w:t>The team recognise that a</w:t>
            </w:r>
            <w:r w:rsidRPr="004C2900">
              <w:rPr>
                <w:color w:val="auto"/>
              </w:rPr>
              <w:t xml:space="preserve"> barrier</w:t>
            </w:r>
            <w:r>
              <w:rPr>
                <w:color w:val="auto"/>
              </w:rPr>
              <w:t xml:space="preserve"> </w:t>
            </w:r>
            <w:r w:rsidRPr="004C2900">
              <w:rPr>
                <w:color w:val="auto"/>
              </w:rPr>
              <w:t>to access</w:t>
            </w:r>
            <w:r>
              <w:rPr>
                <w:color w:val="auto"/>
              </w:rPr>
              <w:t xml:space="preserve">ing IHTT is </w:t>
            </w:r>
            <w:r w:rsidRPr="004C2900">
              <w:rPr>
                <w:color w:val="auto"/>
              </w:rPr>
              <w:t>call volume</w:t>
            </w:r>
            <w:r>
              <w:rPr>
                <w:color w:val="auto"/>
              </w:rPr>
              <w:t>s for First Response service</w:t>
            </w:r>
            <w:r w:rsidR="00957539" w:rsidRPr="000C574B">
              <w:rPr>
                <w:color w:val="auto"/>
              </w:rPr>
              <w:t>, which is a key route into IHTT.</w:t>
            </w:r>
            <w:r w:rsidR="00957539">
              <w:rPr>
                <w:color w:val="auto"/>
              </w:rPr>
              <w:t xml:space="preserve"> </w:t>
            </w:r>
            <w:r w:rsidR="003B34E6">
              <w:rPr>
                <w:color w:val="auto"/>
              </w:rPr>
              <w:t xml:space="preserve">Approximately </w:t>
            </w:r>
            <w:r w:rsidR="00957539">
              <w:rPr>
                <w:color w:val="auto"/>
              </w:rPr>
              <w:t>1 in 5 calls result in crisis intervention</w:t>
            </w:r>
            <w:r w:rsidR="00957539" w:rsidRPr="000C574B">
              <w:rPr>
                <w:color w:val="auto"/>
              </w:rPr>
              <w:t xml:space="preserve">, </w:t>
            </w:r>
            <w:r w:rsidR="00957539">
              <w:rPr>
                <w:color w:val="auto"/>
              </w:rPr>
              <w:t xml:space="preserve">with others being signposted to non-crisis services. It is hoped that by providing </w:t>
            </w:r>
            <w:r w:rsidR="003B34E6">
              <w:rPr>
                <w:color w:val="auto"/>
              </w:rPr>
              <w:t xml:space="preserve">proactive </w:t>
            </w:r>
            <w:r w:rsidR="00957539">
              <w:rPr>
                <w:color w:val="auto"/>
              </w:rPr>
              <w:t>signposting to non-crisis services alongside First Response communications will reduce the demand on the First Response service</w:t>
            </w:r>
            <w:r w:rsidR="003B34E6">
              <w:rPr>
                <w:color w:val="auto"/>
              </w:rPr>
              <w:t xml:space="preserve"> from those not in acute crisis</w:t>
            </w:r>
            <w:r w:rsidR="00957539">
              <w:rPr>
                <w:color w:val="auto"/>
              </w:rPr>
              <w:t xml:space="preserve">, thereby enabling </w:t>
            </w:r>
            <w:r w:rsidR="003B34E6">
              <w:rPr>
                <w:color w:val="auto"/>
              </w:rPr>
              <w:t xml:space="preserve">faster response times for First Response, resulting in </w:t>
            </w:r>
            <w:r w:rsidR="00957539">
              <w:rPr>
                <w:color w:val="auto"/>
              </w:rPr>
              <w:t>better access to</w:t>
            </w:r>
            <w:r w:rsidR="003B34E6">
              <w:rPr>
                <w:color w:val="auto"/>
              </w:rPr>
              <w:t xml:space="preserve"> IHTT</w:t>
            </w:r>
            <w:r w:rsidR="00957539">
              <w:rPr>
                <w:color w:val="auto"/>
              </w:rPr>
              <w:t xml:space="preserve"> for those in crisis. BDC</w:t>
            </w:r>
            <w:r w:rsidR="008A5669">
              <w:rPr>
                <w:color w:val="auto"/>
              </w:rPr>
              <w:t>F</w:t>
            </w:r>
            <w:r w:rsidR="00957539">
              <w:rPr>
                <w:color w:val="auto"/>
              </w:rPr>
              <w:t xml:space="preserve">T are working in partnership across the system to achieve this with Healthy Minds – a VCSE-delivered </w:t>
            </w:r>
            <w:r w:rsidR="00957539" w:rsidRPr="00957539">
              <w:rPr>
                <w:color w:val="auto"/>
              </w:rPr>
              <w:t>directory of mental health groups and services</w:t>
            </w:r>
            <w:r w:rsidR="00957539">
              <w:rPr>
                <w:color w:val="auto"/>
              </w:rPr>
              <w:t xml:space="preserve"> within Bradford District and Craven.</w:t>
            </w:r>
          </w:p>
          <w:p w14:paraId="7459677D" w14:textId="77777777" w:rsidR="00A127A4" w:rsidRDefault="00A127A4" w:rsidP="004D0D1D">
            <w:pPr>
              <w:rPr>
                <w:color w:val="auto"/>
              </w:rPr>
            </w:pPr>
          </w:p>
          <w:p w14:paraId="695E187E" w14:textId="073416C0" w:rsidR="00D806DF" w:rsidRPr="00717B61" w:rsidRDefault="00A0274F" w:rsidP="004D0D1D">
            <w:pPr>
              <w:rPr>
                <w:color w:val="auto"/>
              </w:rPr>
            </w:pPr>
            <w:r w:rsidRPr="00717B61">
              <w:rPr>
                <w:color w:val="auto"/>
              </w:rPr>
              <w:t xml:space="preserve">Referrals </w:t>
            </w:r>
            <w:r w:rsidR="00957EED" w:rsidRPr="00717B61">
              <w:rPr>
                <w:color w:val="auto"/>
              </w:rPr>
              <w:t xml:space="preserve">are </w:t>
            </w:r>
            <w:r w:rsidR="0033024D" w:rsidRPr="00717B61">
              <w:rPr>
                <w:color w:val="auto"/>
              </w:rPr>
              <w:t xml:space="preserve">an even </w:t>
            </w:r>
            <w:r w:rsidR="00E81D5E" w:rsidRPr="00717B61">
              <w:rPr>
                <w:color w:val="auto"/>
              </w:rPr>
              <w:t xml:space="preserve">split between male and female </w:t>
            </w:r>
            <w:r w:rsidR="0033024D" w:rsidRPr="00717B61">
              <w:rPr>
                <w:color w:val="auto"/>
              </w:rPr>
              <w:t>service users, h</w:t>
            </w:r>
            <w:r w:rsidR="00F421E1" w:rsidRPr="00717B61">
              <w:rPr>
                <w:color w:val="auto"/>
              </w:rPr>
              <w:t>owever, f</w:t>
            </w:r>
            <w:r w:rsidR="00190DA7" w:rsidRPr="00717B61">
              <w:rPr>
                <w:color w:val="auto"/>
              </w:rPr>
              <w:t xml:space="preserve">emales are slightly </w:t>
            </w:r>
            <w:r w:rsidR="00BA1191" w:rsidRPr="00717B61">
              <w:rPr>
                <w:color w:val="auto"/>
              </w:rPr>
              <w:t>over</w:t>
            </w:r>
            <w:r w:rsidR="00BF67D3" w:rsidRPr="00717B61">
              <w:rPr>
                <w:color w:val="auto"/>
              </w:rPr>
              <w:t xml:space="preserve">represented within </w:t>
            </w:r>
            <w:r w:rsidR="00C36740" w:rsidRPr="00717B61">
              <w:rPr>
                <w:color w:val="auto"/>
              </w:rPr>
              <w:t>the number of successful appointments</w:t>
            </w:r>
            <w:r w:rsidR="00BF67D3" w:rsidRPr="00717B61">
              <w:rPr>
                <w:color w:val="auto"/>
              </w:rPr>
              <w:t>,</w:t>
            </w:r>
            <w:r w:rsidR="00F421E1" w:rsidRPr="00717B61">
              <w:rPr>
                <w:color w:val="auto"/>
              </w:rPr>
              <w:t xml:space="preserve"> which is in line with </w:t>
            </w:r>
            <w:r w:rsidR="00BF67D3" w:rsidRPr="00717B61">
              <w:rPr>
                <w:color w:val="auto"/>
              </w:rPr>
              <w:t xml:space="preserve">anecdotal reports from the IHTT that </w:t>
            </w:r>
            <w:r w:rsidR="00F421E1" w:rsidRPr="00717B61">
              <w:rPr>
                <w:color w:val="auto"/>
              </w:rPr>
              <w:t>males may be less likely to engage with mental health services.</w:t>
            </w:r>
          </w:p>
          <w:p w14:paraId="49B2156B" w14:textId="1B155237" w:rsidR="00D806DF" w:rsidRPr="00717B61" w:rsidRDefault="00D806DF" w:rsidP="004D0D1D">
            <w:pPr>
              <w:rPr>
                <w:color w:val="auto"/>
              </w:rPr>
            </w:pPr>
          </w:p>
          <w:p w14:paraId="2B07BB2D" w14:textId="5393623B" w:rsidR="0033024D" w:rsidRPr="00717B61" w:rsidRDefault="00FA4283" w:rsidP="00D64FE1">
            <w:pPr>
              <w:rPr>
                <w:color w:val="auto"/>
              </w:rPr>
            </w:pPr>
            <w:r w:rsidRPr="00717B61">
              <w:rPr>
                <w:color w:val="auto"/>
              </w:rPr>
              <w:t>Breaking down referrals by ethnicity</w:t>
            </w:r>
            <w:r w:rsidR="001A3CEA" w:rsidRPr="00717B61">
              <w:rPr>
                <w:color w:val="auto"/>
              </w:rPr>
              <w:t>, t</w:t>
            </w:r>
            <w:r w:rsidR="0058663C" w:rsidRPr="00717B61">
              <w:rPr>
                <w:color w:val="auto"/>
              </w:rPr>
              <w:t xml:space="preserve">he ethnic group of 12% of referrals is </w:t>
            </w:r>
            <w:r w:rsidR="001A3CEA" w:rsidRPr="00717B61">
              <w:rPr>
                <w:color w:val="auto"/>
              </w:rPr>
              <w:t>unknown. Black</w:t>
            </w:r>
            <w:r w:rsidR="00D806DF" w:rsidRPr="00717B61">
              <w:rPr>
                <w:color w:val="auto"/>
              </w:rPr>
              <w:t xml:space="preserve"> and Mixed groups </w:t>
            </w:r>
            <w:r w:rsidR="00973E26" w:rsidRPr="00717B61">
              <w:rPr>
                <w:color w:val="auto"/>
              </w:rPr>
              <w:t>are</w:t>
            </w:r>
            <w:r w:rsidRPr="00717B61">
              <w:rPr>
                <w:color w:val="auto"/>
              </w:rPr>
              <w:t xml:space="preserve"> representative of the overall population, and this remained true when </w:t>
            </w:r>
            <w:r w:rsidR="00C33081" w:rsidRPr="00717B61">
              <w:rPr>
                <w:color w:val="auto"/>
              </w:rPr>
              <w:t xml:space="preserve">reviewing across </w:t>
            </w:r>
            <w:r w:rsidRPr="00717B61">
              <w:rPr>
                <w:color w:val="auto"/>
              </w:rPr>
              <w:t>ethnic subgroups</w:t>
            </w:r>
            <w:r w:rsidR="00973E26" w:rsidRPr="00717B61">
              <w:rPr>
                <w:color w:val="auto"/>
              </w:rPr>
              <w:t xml:space="preserve">. </w:t>
            </w:r>
            <w:r w:rsidR="00966714" w:rsidRPr="00717B61">
              <w:rPr>
                <w:color w:val="auto"/>
              </w:rPr>
              <w:t>However,</w:t>
            </w:r>
            <w:r w:rsidR="00973E26" w:rsidRPr="00717B61">
              <w:rPr>
                <w:color w:val="auto"/>
              </w:rPr>
              <w:t xml:space="preserve"> </w:t>
            </w:r>
            <w:r w:rsidR="0033024D" w:rsidRPr="00717B61">
              <w:rPr>
                <w:color w:val="auto"/>
              </w:rPr>
              <w:t xml:space="preserve">Asian </w:t>
            </w:r>
            <w:r w:rsidR="00973E26" w:rsidRPr="00717B61">
              <w:rPr>
                <w:color w:val="auto"/>
              </w:rPr>
              <w:t>ethnic groups</w:t>
            </w:r>
            <w:r w:rsidR="0033024D" w:rsidRPr="00717B61">
              <w:rPr>
                <w:color w:val="auto"/>
              </w:rPr>
              <w:t xml:space="preserve"> are underrepresented within referrals (17.9% of referrals, compared with 29.0% of the Bradford and Craven population)</w:t>
            </w:r>
            <w:r w:rsidR="008F32A3" w:rsidRPr="00717B61">
              <w:rPr>
                <w:color w:val="auto"/>
              </w:rPr>
              <w:t xml:space="preserve">, </w:t>
            </w:r>
            <w:r w:rsidR="00C33081" w:rsidRPr="00717B61">
              <w:rPr>
                <w:color w:val="auto"/>
              </w:rPr>
              <w:t xml:space="preserve">Once referred, the number of successful appointments and discharges for Asian and Asian British service users is on par with referral numbers (17.8% of appointments, 18% of discharges). The lower </w:t>
            </w:r>
            <w:proofErr w:type="gramStart"/>
            <w:r w:rsidR="00C33081" w:rsidRPr="00717B61">
              <w:rPr>
                <w:color w:val="auto"/>
              </w:rPr>
              <w:t>referrals</w:t>
            </w:r>
            <w:proofErr w:type="gramEnd"/>
            <w:r w:rsidR="00C33081" w:rsidRPr="00717B61">
              <w:rPr>
                <w:color w:val="auto"/>
              </w:rPr>
              <w:t xml:space="preserve"> for Asian groups is</w:t>
            </w:r>
            <w:r w:rsidR="00D64FE1" w:rsidRPr="00717B61">
              <w:rPr>
                <w:color w:val="auto"/>
              </w:rPr>
              <w:t xml:space="preserve"> mostly accounted for by underrepresentation of the Pakistani community (14.4% of referrals, 23.2% of the population).</w:t>
            </w:r>
          </w:p>
          <w:p w14:paraId="6A4DAED9" w14:textId="0BA7385D" w:rsidR="00B8759F" w:rsidRPr="00717B61" w:rsidRDefault="00385E5E" w:rsidP="00943EA5">
            <w:pPr>
              <w:rPr>
                <w:color w:val="auto"/>
              </w:rPr>
            </w:pPr>
            <w:r>
              <w:rPr>
                <w:color w:val="auto"/>
              </w:rPr>
              <w:t xml:space="preserve"> </w:t>
            </w:r>
          </w:p>
          <w:p w14:paraId="5B0E8330" w14:textId="35F4C8EC" w:rsidR="0033024D" w:rsidRPr="00717B61" w:rsidRDefault="00C91DA0" w:rsidP="00717B61">
            <w:pPr>
              <w:rPr>
                <w:color w:val="auto"/>
              </w:rPr>
            </w:pPr>
            <w:r w:rsidRPr="00717B61">
              <w:rPr>
                <w:color w:val="auto"/>
              </w:rPr>
              <w:t>65% of referrals experience high levels of deprivation (</w:t>
            </w:r>
            <w:r w:rsidR="00C97912" w:rsidRPr="00717B61">
              <w:rPr>
                <w:color w:val="auto"/>
              </w:rPr>
              <w:t>IMD level</w:t>
            </w:r>
            <w:r w:rsidRPr="00717B61">
              <w:rPr>
                <w:color w:val="auto"/>
              </w:rPr>
              <w:t xml:space="preserve"> 1-3). Appointments and discharge numbers on par with referral numbers</w:t>
            </w:r>
            <w:r w:rsidR="00C97912" w:rsidRPr="00717B61">
              <w:rPr>
                <w:color w:val="auto"/>
              </w:rPr>
              <w:t xml:space="preserve"> for those service users experiencing high deprivation.</w:t>
            </w:r>
            <w:r w:rsidR="00AB3FAB" w:rsidRPr="00717B61">
              <w:rPr>
                <w:color w:val="auto"/>
              </w:rPr>
              <w:t xml:space="preserve"> Analysis of </w:t>
            </w:r>
            <w:r w:rsidR="00C97912" w:rsidRPr="00717B61">
              <w:rPr>
                <w:color w:val="auto"/>
              </w:rPr>
              <w:t xml:space="preserve">the </w:t>
            </w:r>
            <w:r w:rsidR="00F41EF4" w:rsidRPr="00717B61">
              <w:rPr>
                <w:color w:val="auto"/>
              </w:rPr>
              <w:t>domains of deprivation</w:t>
            </w:r>
            <w:r w:rsidR="00AB3FAB" w:rsidRPr="00717B61">
              <w:rPr>
                <w:color w:val="auto"/>
              </w:rPr>
              <w:t xml:space="preserve"> demonstrated that</w:t>
            </w:r>
            <w:r w:rsidR="00F41EF4" w:rsidRPr="00717B61">
              <w:rPr>
                <w:color w:val="auto"/>
              </w:rPr>
              <w:t xml:space="preserve"> the majority of the IHTT caseload live in areas which have high levels of crime</w:t>
            </w:r>
            <w:r w:rsidR="00A33630" w:rsidRPr="00717B61">
              <w:rPr>
                <w:color w:val="auto"/>
              </w:rPr>
              <w:t xml:space="preserve">, lower education levels and </w:t>
            </w:r>
            <w:r w:rsidR="00F41EF4" w:rsidRPr="00717B61">
              <w:rPr>
                <w:color w:val="auto"/>
              </w:rPr>
              <w:t>the local population experience higher levels of unemployment, health conditions and disabilities</w:t>
            </w:r>
            <w:r w:rsidR="00A33630" w:rsidRPr="00717B61">
              <w:rPr>
                <w:color w:val="auto"/>
              </w:rPr>
              <w:t>.</w:t>
            </w:r>
          </w:p>
          <w:p w14:paraId="25C96BA8" w14:textId="713CAA93" w:rsidR="00865629" w:rsidRPr="00717B61" w:rsidRDefault="00275EA3" w:rsidP="00B434C5">
            <w:pPr>
              <w:rPr>
                <w:color w:val="auto"/>
              </w:rPr>
            </w:pPr>
            <w:r>
              <w:rPr>
                <w:color w:val="auto"/>
              </w:rPr>
              <w:br/>
            </w:r>
            <w:r w:rsidR="00A33630" w:rsidRPr="00717B61">
              <w:rPr>
                <w:color w:val="auto"/>
              </w:rPr>
              <w:t>Religious makeup of the caseload is difficult to assess as religion</w:t>
            </w:r>
            <w:r w:rsidR="00B434C5" w:rsidRPr="00717B61">
              <w:rPr>
                <w:color w:val="auto"/>
              </w:rPr>
              <w:t xml:space="preserve"> is not recorded for almost 60% of referrals. The largest religious group are Christian</w:t>
            </w:r>
            <w:r w:rsidR="00D91F10" w:rsidRPr="00717B61">
              <w:rPr>
                <w:color w:val="auto"/>
              </w:rPr>
              <w:t xml:space="preserve"> </w:t>
            </w:r>
            <w:r w:rsidR="00B434C5" w:rsidRPr="00717B61">
              <w:rPr>
                <w:color w:val="auto"/>
              </w:rPr>
              <w:t>(21.3%), followed by Muslim</w:t>
            </w:r>
            <w:r w:rsidR="00D91F10" w:rsidRPr="00717B61">
              <w:rPr>
                <w:color w:val="auto"/>
              </w:rPr>
              <w:t xml:space="preserve"> </w:t>
            </w:r>
            <w:r w:rsidR="00B434C5" w:rsidRPr="00717B61">
              <w:rPr>
                <w:color w:val="auto"/>
              </w:rPr>
              <w:t>(10.6%)</w:t>
            </w:r>
            <w:r w:rsidR="00717B61">
              <w:rPr>
                <w:color w:val="auto"/>
              </w:rPr>
              <w:t>.</w:t>
            </w:r>
            <w:r w:rsidR="00BB3693">
              <w:rPr>
                <w:color w:val="auto"/>
              </w:rPr>
              <w:t xml:space="preserve"> </w:t>
            </w:r>
          </w:p>
          <w:p w14:paraId="46A658E8" w14:textId="77777777" w:rsidR="00B434C5" w:rsidRPr="00717B61" w:rsidRDefault="00B434C5" w:rsidP="00B434C5">
            <w:pPr>
              <w:rPr>
                <w:color w:val="auto"/>
              </w:rPr>
            </w:pPr>
          </w:p>
          <w:p w14:paraId="7D3C8B3B" w14:textId="78D82253" w:rsidR="00B434C5" w:rsidRPr="00717B61" w:rsidRDefault="00007156" w:rsidP="00007156">
            <w:pPr>
              <w:rPr>
                <w:color w:val="auto"/>
              </w:rPr>
            </w:pPr>
            <w:r w:rsidRPr="00717B61">
              <w:rPr>
                <w:color w:val="auto"/>
              </w:rPr>
              <w:t xml:space="preserve">Sexual orientation is similarly difficult to assess as sexual orientation is not recorded for 70% of referrals. Of those where sexual orientation is known 92% of referrals report identify as heterosexual with the remaining 8% described themselves as </w:t>
            </w:r>
            <w:r w:rsidRPr="00717B61">
              <w:rPr>
                <w:color w:val="auto"/>
              </w:rPr>
              <w:lastRenderedPageBreak/>
              <w:t>homosexual, gay, lesbian or bisexual.</w:t>
            </w:r>
            <w:r w:rsidR="007E485F" w:rsidRPr="00717B61">
              <w:rPr>
                <w:color w:val="auto"/>
              </w:rPr>
              <w:br/>
            </w:r>
          </w:p>
          <w:p w14:paraId="6A68BB49" w14:textId="3971B934" w:rsidR="004D0D1D" w:rsidRPr="00717B61" w:rsidRDefault="00EB246B" w:rsidP="004D0D1D">
            <w:pPr>
              <w:rPr>
                <w:color w:val="auto"/>
              </w:rPr>
            </w:pPr>
            <w:r w:rsidRPr="00717B61">
              <w:rPr>
                <w:color w:val="auto"/>
              </w:rPr>
              <w:t xml:space="preserve">Staff report that they feel service users have good levels of access and clearly articulate what barriers may prevent </w:t>
            </w:r>
            <w:proofErr w:type="gramStart"/>
            <w:r w:rsidRPr="00717B61">
              <w:rPr>
                <w:color w:val="auto"/>
              </w:rPr>
              <w:t>particular groups</w:t>
            </w:r>
            <w:proofErr w:type="gramEnd"/>
            <w:r w:rsidRPr="00717B61">
              <w:rPr>
                <w:color w:val="auto"/>
              </w:rPr>
              <w:t xml:space="preserve"> from accessing the service – including language barriers, cultural stigma, being unaware of services or having no fixed abode. Staff members felt that it’s important to understand </w:t>
            </w:r>
            <w:proofErr w:type="gramStart"/>
            <w:r w:rsidRPr="00717B61">
              <w:rPr>
                <w:color w:val="auto"/>
              </w:rPr>
              <w:t>each individual’s</w:t>
            </w:r>
            <w:proofErr w:type="gramEnd"/>
            <w:r w:rsidRPr="00717B61">
              <w:rPr>
                <w:color w:val="auto"/>
              </w:rPr>
              <w:t xml:space="preserve"> needs, visit them in their homes and, where appropriate, involve family and carers.</w:t>
            </w:r>
          </w:p>
        </w:tc>
      </w:tr>
      <w:tr w:rsidR="00717B61" w:rsidRPr="00717B61" w14:paraId="33C08C90" w14:textId="10C0ED17" w:rsidTr="00717B61">
        <w:trPr>
          <w:cnfStyle w:val="000000100000" w:firstRow="0" w:lastRow="0" w:firstColumn="0" w:lastColumn="0" w:oddVBand="0" w:evenVBand="0" w:oddHBand="1" w:evenHBand="0" w:firstRowFirstColumn="0" w:firstRowLastColumn="0" w:lastRowFirstColumn="0" w:lastRowLastColumn="0"/>
        </w:trPr>
        <w:tc>
          <w:tcPr>
            <w:tcW w:w="11757" w:type="dxa"/>
            <w:tcBorders>
              <w:top w:val="single" w:sz="4" w:space="0" w:color="auto"/>
              <w:left w:val="single" w:sz="4" w:space="0" w:color="auto"/>
              <w:bottom w:val="single" w:sz="4" w:space="0" w:color="auto"/>
              <w:right w:val="single" w:sz="4" w:space="0" w:color="auto"/>
            </w:tcBorders>
            <w:shd w:val="clear" w:color="auto" w:fill="005EB8"/>
          </w:tcPr>
          <w:p w14:paraId="0BBB83EB" w14:textId="43FC365A" w:rsidR="006934AF" w:rsidRPr="00717B61" w:rsidRDefault="006934AF" w:rsidP="003F70B7">
            <w:pPr>
              <w:rPr>
                <w:b/>
                <w:bCs/>
                <w:color w:val="FFFFFF" w:themeColor="background1"/>
              </w:rPr>
            </w:pPr>
            <w:r w:rsidRPr="00717B61">
              <w:rPr>
                <w:rFonts w:cs="Arial"/>
                <w:b/>
                <w:bCs/>
                <w:color w:val="FFFFFF" w:themeColor="background1"/>
              </w:rPr>
              <w:lastRenderedPageBreak/>
              <w:t>Outcome 1B: Individual patients (service users) health needs are met</w:t>
            </w:r>
          </w:p>
        </w:tc>
        <w:tc>
          <w:tcPr>
            <w:tcW w:w="2186" w:type="dxa"/>
            <w:tcBorders>
              <w:top w:val="single" w:sz="4" w:space="0" w:color="auto"/>
              <w:left w:val="single" w:sz="4" w:space="0" w:color="auto"/>
              <w:bottom w:val="single" w:sz="4" w:space="0" w:color="auto"/>
              <w:right w:val="single" w:sz="4" w:space="0" w:color="auto"/>
            </w:tcBorders>
            <w:shd w:val="clear" w:color="auto" w:fill="005EB8"/>
          </w:tcPr>
          <w:p w14:paraId="545457A2" w14:textId="71F11B2B" w:rsidR="006934AF" w:rsidRPr="00717B61" w:rsidRDefault="006934AF" w:rsidP="003F70B7">
            <w:pPr>
              <w:rPr>
                <w:rFonts w:cs="Arial"/>
                <w:b/>
                <w:bCs/>
                <w:color w:val="FFFFFF" w:themeColor="background1"/>
              </w:rPr>
            </w:pPr>
            <w:r w:rsidRPr="00717B61">
              <w:rPr>
                <w:rFonts w:cs="Arial"/>
                <w:b/>
                <w:bCs/>
                <w:color w:val="FFFFFF" w:themeColor="background1"/>
              </w:rPr>
              <w:t xml:space="preserve">Score: </w:t>
            </w:r>
            <w:r w:rsidR="00085A45">
              <w:rPr>
                <w:rFonts w:cs="Arial"/>
                <w:b/>
                <w:bCs/>
                <w:color w:val="FFFFFF" w:themeColor="background1"/>
              </w:rPr>
              <w:t>3</w:t>
            </w:r>
          </w:p>
        </w:tc>
      </w:tr>
      <w:tr w:rsidR="00717B61" w:rsidRPr="00717B61" w14:paraId="47DD19D5" w14:textId="42B2B83E" w:rsidTr="00717B61">
        <w:tc>
          <w:tcPr>
            <w:tcW w:w="13943" w:type="dxa"/>
            <w:gridSpan w:val="2"/>
          </w:tcPr>
          <w:p w14:paraId="6E83B380" w14:textId="65536E46" w:rsidR="006934AF" w:rsidRPr="00717B61" w:rsidRDefault="006934AF" w:rsidP="003F70B7">
            <w:pPr>
              <w:rPr>
                <w:b/>
                <w:bCs/>
                <w:color w:val="auto"/>
              </w:rPr>
            </w:pPr>
            <w:r w:rsidRPr="00717B61">
              <w:rPr>
                <w:b/>
                <w:bCs/>
                <w:color w:val="auto"/>
              </w:rPr>
              <w:t>Evidence:</w:t>
            </w:r>
          </w:p>
          <w:p w14:paraId="7218AB7E" w14:textId="77777777" w:rsidR="00A742C0" w:rsidRPr="00B40229" w:rsidRDefault="006B413D" w:rsidP="00A742C0">
            <w:pPr>
              <w:rPr>
                <w:color w:val="auto"/>
              </w:rPr>
            </w:pPr>
            <w:r>
              <w:rPr>
                <w:color w:val="auto"/>
              </w:rPr>
              <w:t>Service users within IHTT have h</w:t>
            </w:r>
            <w:r w:rsidRPr="00B40229">
              <w:rPr>
                <w:color w:val="auto"/>
              </w:rPr>
              <w:t>igh acuity condition</w:t>
            </w:r>
            <w:r>
              <w:rPr>
                <w:color w:val="auto"/>
              </w:rPr>
              <w:t>s and therefore the service focuses on ensuring patients are</w:t>
            </w:r>
            <w:r w:rsidRPr="00B40229">
              <w:rPr>
                <w:color w:val="auto"/>
              </w:rPr>
              <w:t xml:space="preserve"> stabilised, kept safe, signposted</w:t>
            </w:r>
            <w:r>
              <w:rPr>
                <w:color w:val="auto"/>
              </w:rPr>
              <w:t xml:space="preserve"> and</w:t>
            </w:r>
            <w:r w:rsidRPr="00B40229">
              <w:rPr>
                <w:color w:val="auto"/>
              </w:rPr>
              <w:t xml:space="preserve">, if safe to do so, </w:t>
            </w:r>
            <w:r>
              <w:rPr>
                <w:color w:val="auto"/>
              </w:rPr>
              <w:t xml:space="preserve">able to be treated at home and </w:t>
            </w:r>
            <w:r w:rsidRPr="00B40229">
              <w:rPr>
                <w:color w:val="auto"/>
              </w:rPr>
              <w:t>avoid</w:t>
            </w:r>
            <w:r>
              <w:rPr>
                <w:color w:val="auto"/>
              </w:rPr>
              <w:t>ing</w:t>
            </w:r>
            <w:r w:rsidRPr="00B40229">
              <w:rPr>
                <w:color w:val="auto"/>
              </w:rPr>
              <w:t xml:space="preserve"> admission to hospital.</w:t>
            </w:r>
            <w:r>
              <w:rPr>
                <w:color w:val="auto"/>
              </w:rPr>
              <w:t xml:space="preserve"> </w:t>
            </w:r>
            <w:r w:rsidRPr="00B40229">
              <w:rPr>
                <w:color w:val="auto"/>
              </w:rPr>
              <w:t>Care planning is personalised to the patient</w:t>
            </w:r>
            <w:r>
              <w:rPr>
                <w:color w:val="auto"/>
              </w:rPr>
              <w:t xml:space="preserve">. </w:t>
            </w:r>
            <w:r w:rsidRPr="00717B61">
              <w:rPr>
                <w:color w:val="auto"/>
              </w:rPr>
              <w:t>The team includes nurses, social workers, support workers, advance nurse practitioners, occupational therapists, psychotherapists and a consultant psychiatrist to provide multidisciplinary care for service users. Appointments are predominantly face to face (76.6%), with team members visiting service users in their own homes, with telephone contacts to supplement this. By offering assessment and home treatment as an alternative to hospital admission, this allows for service users to be in familiar surroundings, often with friends and family available to support with recovery. Recognising that suicide risk is high following discharge from inpatient mental health services, the IHTT also support those who are being discharged from hospital.</w:t>
            </w:r>
            <w:r w:rsidR="00A742C0">
              <w:rPr>
                <w:color w:val="auto"/>
              </w:rPr>
              <w:t xml:space="preserve"> The team use a </w:t>
            </w:r>
            <w:r w:rsidR="00A742C0" w:rsidRPr="00B40229">
              <w:rPr>
                <w:color w:val="auto"/>
              </w:rPr>
              <w:t xml:space="preserve">RAG planner </w:t>
            </w:r>
            <w:r w:rsidR="00A742C0">
              <w:rPr>
                <w:color w:val="auto"/>
              </w:rPr>
              <w:t xml:space="preserve">to </w:t>
            </w:r>
            <w:r w:rsidR="00A742C0" w:rsidRPr="00B40229">
              <w:rPr>
                <w:color w:val="auto"/>
              </w:rPr>
              <w:t xml:space="preserve">ensures needs </w:t>
            </w:r>
            <w:r w:rsidR="00A742C0">
              <w:rPr>
                <w:color w:val="auto"/>
              </w:rPr>
              <w:t xml:space="preserve">of service users </w:t>
            </w:r>
            <w:r w:rsidR="00A742C0" w:rsidRPr="00B40229">
              <w:rPr>
                <w:color w:val="auto"/>
              </w:rPr>
              <w:t>are met</w:t>
            </w:r>
            <w:r w:rsidR="00A742C0">
              <w:rPr>
                <w:color w:val="auto"/>
              </w:rPr>
              <w:t>. The board</w:t>
            </w:r>
            <w:r w:rsidR="00A742C0" w:rsidRPr="00B40229">
              <w:rPr>
                <w:color w:val="auto"/>
              </w:rPr>
              <w:t xml:space="preserve"> includes </w:t>
            </w:r>
            <w:r w:rsidR="00A742C0">
              <w:rPr>
                <w:color w:val="auto"/>
              </w:rPr>
              <w:t xml:space="preserve">an </w:t>
            </w:r>
            <w:r w:rsidR="00A742C0" w:rsidRPr="00B40229">
              <w:rPr>
                <w:color w:val="auto"/>
              </w:rPr>
              <w:t xml:space="preserve">overview of </w:t>
            </w:r>
            <w:r w:rsidR="00A742C0">
              <w:rPr>
                <w:color w:val="auto"/>
              </w:rPr>
              <w:t xml:space="preserve">the </w:t>
            </w:r>
            <w:r w:rsidR="00A742C0" w:rsidRPr="00B40229">
              <w:rPr>
                <w:color w:val="auto"/>
              </w:rPr>
              <w:t>caseload to support planning and what care everyone requires</w:t>
            </w:r>
            <w:r w:rsidR="00A742C0">
              <w:rPr>
                <w:color w:val="auto"/>
              </w:rPr>
              <w:t xml:space="preserve">, with service users with the highest acuity being reviewed daily </w:t>
            </w:r>
            <w:r w:rsidR="00A742C0" w:rsidRPr="00B40229">
              <w:rPr>
                <w:color w:val="auto"/>
              </w:rPr>
              <w:t>at huddles and receive daily visits.</w:t>
            </w:r>
            <w:r w:rsidR="00A742C0">
              <w:rPr>
                <w:color w:val="auto"/>
              </w:rPr>
              <w:br/>
            </w:r>
          </w:p>
          <w:p w14:paraId="703FD9C3" w14:textId="153F73CD" w:rsidR="006B413D" w:rsidRDefault="006B413D" w:rsidP="006B413D">
            <w:pPr>
              <w:rPr>
                <w:color w:val="auto"/>
              </w:rPr>
            </w:pPr>
            <w:r>
              <w:rPr>
                <w:color w:val="auto"/>
              </w:rPr>
              <w:t>C</w:t>
            </w:r>
            <w:r w:rsidRPr="00B40229">
              <w:rPr>
                <w:color w:val="auto"/>
              </w:rPr>
              <w:t xml:space="preserve">riteria for </w:t>
            </w:r>
            <w:r>
              <w:rPr>
                <w:color w:val="auto"/>
              </w:rPr>
              <w:t xml:space="preserve">referral into </w:t>
            </w:r>
            <w:r w:rsidRPr="00B40229">
              <w:rPr>
                <w:color w:val="auto"/>
              </w:rPr>
              <w:t xml:space="preserve">IHTT is that hospital admission criteria </w:t>
            </w:r>
            <w:r>
              <w:rPr>
                <w:color w:val="auto"/>
              </w:rPr>
              <w:t>are</w:t>
            </w:r>
            <w:r w:rsidRPr="00B40229">
              <w:rPr>
                <w:color w:val="auto"/>
              </w:rPr>
              <w:t xml:space="preserve"> met</w:t>
            </w:r>
            <w:r>
              <w:rPr>
                <w:color w:val="auto"/>
              </w:rPr>
              <w:t>, however, key to meeting service users’ needs is being able to treat service users in their own homes where safe to do so. Analysis of the caseload outcome showed that</w:t>
            </w:r>
            <w:r w:rsidRPr="00B40229">
              <w:rPr>
                <w:color w:val="auto"/>
              </w:rPr>
              <w:t xml:space="preserve"> 15% of caseload are admitted to hospital</w:t>
            </w:r>
            <w:r>
              <w:rPr>
                <w:color w:val="auto"/>
              </w:rPr>
              <w:t xml:space="preserve">, demonstrating a reduction in acuity and avoidance of </w:t>
            </w:r>
            <w:r w:rsidRPr="00B40229">
              <w:rPr>
                <w:color w:val="auto"/>
              </w:rPr>
              <w:t>admission</w:t>
            </w:r>
            <w:r>
              <w:rPr>
                <w:color w:val="auto"/>
              </w:rPr>
              <w:t xml:space="preserve"> for</w:t>
            </w:r>
            <w:r w:rsidRPr="00B40229">
              <w:rPr>
                <w:color w:val="auto"/>
              </w:rPr>
              <w:t xml:space="preserve"> 85% </w:t>
            </w:r>
            <w:r>
              <w:rPr>
                <w:color w:val="auto"/>
              </w:rPr>
              <w:t xml:space="preserve">of the caseload. Following IHTT care, service users </w:t>
            </w:r>
            <w:r w:rsidRPr="00B40229">
              <w:rPr>
                <w:color w:val="auto"/>
              </w:rPr>
              <w:t xml:space="preserve">are referred to </w:t>
            </w:r>
            <w:r>
              <w:rPr>
                <w:color w:val="auto"/>
              </w:rPr>
              <w:t xml:space="preserve">CMHT and/or </w:t>
            </w:r>
            <w:r w:rsidRPr="00B40229">
              <w:rPr>
                <w:color w:val="auto"/>
              </w:rPr>
              <w:t>VCSE</w:t>
            </w:r>
            <w:r>
              <w:rPr>
                <w:color w:val="auto"/>
              </w:rPr>
              <w:t xml:space="preserve"> organisations for ongoing care</w:t>
            </w:r>
            <w:r w:rsidRPr="00B40229">
              <w:rPr>
                <w:color w:val="auto"/>
              </w:rPr>
              <w:t>.</w:t>
            </w:r>
            <w:r>
              <w:rPr>
                <w:color w:val="auto"/>
              </w:rPr>
              <w:t xml:space="preserve"> </w:t>
            </w:r>
          </w:p>
          <w:p w14:paraId="417A0FF7" w14:textId="77777777" w:rsidR="006B413D" w:rsidRDefault="006B413D" w:rsidP="006B413D">
            <w:pPr>
              <w:rPr>
                <w:color w:val="auto"/>
              </w:rPr>
            </w:pPr>
          </w:p>
          <w:p w14:paraId="681DC5BE" w14:textId="5150E482" w:rsidR="006B413D" w:rsidRPr="00B40229" w:rsidRDefault="006B413D" w:rsidP="006B413D">
            <w:pPr>
              <w:rPr>
                <w:color w:val="auto"/>
              </w:rPr>
            </w:pPr>
            <w:r>
              <w:rPr>
                <w:color w:val="auto"/>
              </w:rPr>
              <w:t xml:space="preserve">The team also recognise </w:t>
            </w:r>
            <w:r w:rsidRPr="00B40229">
              <w:rPr>
                <w:color w:val="auto"/>
              </w:rPr>
              <w:t xml:space="preserve">that some individuals may feel more comfortable with VCSE-led support rather than </w:t>
            </w:r>
            <w:r>
              <w:rPr>
                <w:color w:val="auto"/>
              </w:rPr>
              <w:t xml:space="preserve">ongoing care via </w:t>
            </w:r>
            <w:r w:rsidR="008A5669">
              <w:rPr>
                <w:color w:val="auto"/>
              </w:rPr>
              <w:t>BDCFT</w:t>
            </w:r>
            <w:r>
              <w:rPr>
                <w:color w:val="auto"/>
              </w:rPr>
              <w:t>. Where appropriate and personalised to the service user, the team refer</w:t>
            </w:r>
            <w:r w:rsidRPr="00B40229">
              <w:rPr>
                <w:color w:val="auto"/>
              </w:rPr>
              <w:t xml:space="preserve"> </w:t>
            </w:r>
            <w:r>
              <w:rPr>
                <w:color w:val="auto"/>
              </w:rPr>
              <w:t xml:space="preserve">individuals into these services, such as the </w:t>
            </w:r>
            <w:r w:rsidRPr="00B40229">
              <w:rPr>
                <w:color w:val="auto"/>
              </w:rPr>
              <w:t>Cellar Trus</w:t>
            </w:r>
            <w:r w:rsidR="004C2900">
              <w:rPr>
                <w:color w:val="auto"/>
              </w:rPr>
              <w:t>t and Safe Spaces</w:t>
            </w:r>
            <w:r w:rsidRPr="00B40229">
              <w:rPr>
                <w:color w:val="auto"/>
              </w:rPr>
              <w:t>.</w:t>
            </w:r>
            <w:r>
              <w:rPr>
                <w:color w:val="auto"/>
              </w:rPr>
              <w:t xml:space="preserve"> Recognising the importance of VCSE partnerships, the team co-work</w:t>
            </w:r>
            <w:r w:rsidRPr="00B40229">
              <w:rPr>
                <w:color w:val="auto"/>
              </w:rPr>
              <w:t xml:space="preserve"> with Bradford Breathing Spaces</w:t>
            </w:r>
            <w:r>
              <w:rPr>
                <w:color w:val="auto"/>
              </w:rPr>
              <w:t>, a</w:t>
            </w:r>
            <w:r w:rsidRPr="006B413D">
              <w:rPr>
                <w:color w:val="auto"/>
              </w:rPr>
              <w:t xml:space="preserve"> mental health service </w:t>
            </w:r>
            <w:r>
              <w:rPr>
                <w:color w:val="auto"/>
              </w:rPr>
              <w:t>supporting young people. Re</w:t>
            </w:r>
            <w:r w:rsidRPr="00B40229">
              <w:rPr>
                <w:color w:val="auto"/>
              </w:rPr>
              <w:t>ferrals</w:t>
            </w:r>
            <w:r>
              <w:rPr>
                <w:color w:val="auto"/>
              </w:rPr>
              <w:t xml:space="preserve"> are also</w:t>
            </w:r>
            <w:r w:rsidRPr="00B40229">
              <w:rPr>
                <w:color w:val="auto"/>
              </w:rPr>
              <w:t xml:space="preserve"> made to appropriate organisations</w:t>
            </w:r>
            <w:r>
              <w:rPr>
                <w:color w:val="auto"/>
              </w:rPr>
              <w:t xml:space="preserve"> and services which provide additional support, evidencing that the service goes beyond </w:t>
            </w:r>
            <w:r w:rsidRPr="00B40229">
              <w:rPr>
                <w:color w:val="auto"/>
              </w:rPr>
              <w:t xml:space="preserve">solely meeting </w:t>
            </w:r>
            <w:r>
              <w:rPr>
                <w:color w:val="auto"/>
              </w:rPr>
              <w:t xml:space="preserve">people’s </w:t>
            </w:r>
            <w:r w:rsidRPr="00B40229">
              <w:rPr>
                <w:color w:val="auto"/>
              </w:rPr>
              <w:t xml:space="preserve">health needs </w:t>
            </w:r>
            <w:r>
              <w:rPr>
                <w:color w:val="auto"/>
              </w:rPr>
              <w:t>and r</w:t>
            </w:r>
            <w:r w:rsidRPr="00B40229">
              <w:rPr>
                <w:color w:val="auto"/>
              </w:rPr>
              <w:t>e</w:t>
            </w:r>
            <w:r>
              <w:rPr>
                <w:color w:val="auto"/>
              </w:rPr>
              <w:t xml:space="preserve">cognises </w:t>
            </w:r>
            <w:r>
              <w:rPr>
                <w:color w:val="auto"/>
              </w:rPr>
              <w:lastRenderedPageBreak/>
              <w:t xml:space="preserve">the impact of wider social determinants on mental health. This includes </w:t>
            </w:r>
            <w:r w:rsidRPr="00B40229">
              <w:rPr>
                <w:color w:val="auto"/>
              </w:rPr>
              <w:t xml:space="preserve">signposting to housing support, bereavement </w:t>
            </w:r>
            <w:r>
              <w:rPr>
                <w:color w:val="auto"/>
              </w:rPr>
              <w:t>services</w:t>
            </w:r>
            <w:r w:rsidRPr="00B40229">
              <w:rPr>
                <w:color w:val="auto"/>
              </w:rPr>
              <w:t>, relationship counselling</w:t>
            </w:r>
            <w:r>
              <w:rPr>
                <w:color w:val="auto"/>
              </w:rPr>
              <w:t xml:space="preserve"> and</w:t>
            </w:r>
            <w:r w:rsidRPr="00B40229">
              <w:rPr>
                <w:color w:val="auto"/>
              </w:rPr>
              <w:t xml:space="preserve"> charities for specific groups</w:t>
            </w:r>
            <w:r>
              <w:rPr>
                <w:color w:val="auto"/>
              </w:rPr>
              <w:t xml:space="preserve"> or </w:t>
            </w:r>
            <w:r w:rsidRPr="00B40229">
              <w:rPr>
                <w:color w:val="auto"/>
              </w:rPr>
              <w:t>experiences.</w:t>
            </w:r>
          </w:p>
          <w:p w14:paraId="5937EC7A" w14:textId="77777777" w:rsidR="006B413D" w:rsidRDefault="006B413D" w:rsidP="006B413D">
            <w:pPr>
              <w:rPr>
                <w:b/>
                <w:bCs/>
                <w:color w:val="auto"/>
              </w:rPr>
            </w:pPr>
          </w:p>
          <w:p w14:paraId="7A6612E3" w14:textId="58481F27" w:rsidR="006934AF" w:rsidRDefault="00C00FF7" w:rsidP="006912BC">
            <w:pPr>
              <w:rPr>
                <w:color w:val="auto"/>
              </w:rPr>
            </w:pPr>
            <w:r w:rsidRPr="00717B61">
              <w:rPr>
                <w:color w:val="auto"/>
              </w:rPr>
              <w:t xml:space="preserve">IHTT </w:t>
            </w:r>
            <w:r w:rsidR="006574D6" w:rsidRPr="00717B61">
              <w:rPr>
                <w:color w:val="auto"/>
              </w:rPr>
              <w:t>leadership r</w:t>
            </w:r>
            <w:r w:rsidRPr="00717B61">
              <w:rPr>
                <w:color w:val="auto"/>
              </w:rPr>
              <w:t>egularly monitor against key KPI</w:t>
            </w:r>
            <w:r w:rsidR="006574D6" w:rsidRPr="00717B61">
              <w:rPr>
                <w:color w:val="auto"/>
              </w:rPr>
              <w:t>s to ensure the needs of their service users are being met. This includes monitoring</w:t>
            </w:r>
            <w:r w:rsidR="00874A41" w:rsidRPr="00717B61">
              <w:rPr>
                <w:color w:val="auto"/>
              </w:rPr>
              <w:t xml:space="preserve"> whether</w:t>
            </w:r>
            <w:r w:rsidR="00594514" w:rsidRPr="00717B61">
              <w:rPr>
                <w:color w:val="auto"/>
              </w:rPr>
              <w:t xml:space="preserve"> care plans, risk assessments and MDT review completed for the caseload</w:t>
            </w:r>
            <w:r w:rsidR="000A6D24" w:rsidRPr="00717B61">
              <w:rPr>
                <w:color w:val="auto"/>
              </w:rPr>
              <w:t xml:space="preserve"> – which are completed for 99-100% </w:t>
            </w:r>
            <w:r w:rsidR="00874A41" w:rsidRPr="00717B61">
              <w:rPr>
                <w:color w:val="auto"/>
              </w:rPr>
              <w:t>of service users</w:t>
            </w:r>
            <w:r w:rsidR="000A6D24" w:rsidRPr="00717B61">
              <w:rPr>
                <w:color w:val="auto"/>
              </w:rPr>
              <w:t xml:space="preserve">. Care plans are provided to patients </w:t>
            </w:r>
            <w:r w:rsidR="007D086A" w:rsidRPr="00717B61">
              <w:rPr>
                <w:color w:val="auto"/>
              </w:rPr>
              <w:t>via email or post to ensure they are aware of their care plan. The</w:t>
            </w:r>
            <w:r w:rsidR="000A6D24" w:rsidRPr="00717B61">
              <w:rPr>
                <w:color w:val="auto"/>
              </w:rPr>
              <w:t xml:space="preserve"> team also audit care plans monthly to ensure quality</w:t>
            </w:r>
            <w:r w:rsidR="007D086A" w:rsidRPr="00717B61">
              <w:rPr>
                <w:color w:val="auto"/>
              </w:rPr>
              <w:t xml:space="preserve"> is maintained. Upon discharge from the service, patients and their GPs receive a copy of a discharge </w:t>
            </w:r>
            <w:r w:rsidR="00F405FE" w:rsidRPr="00717B61">
              <w:rPr>
                <w:color w:val="auto"/>
              </w:rPr>
              <w:t>letter,</w:t>
            </w:r>
            <w:r w:rsidR="007D086A" w:rsidRPr="00717B61">
              <w:rPr>
                <w:color w:val="auto"/>
              </w:rPr>
              <w:t xml:space="preserve"> and a crisis plan to ensure they are aware of how to access support</w:t>
            </w:r>
            <w:r w:rsidR="00EA66B4" w:rsidRPr="00717B61">
              <w:rPr>
                <w:color w:val="auto"/>
              </w:rPr>
              <w:t xml:space="preserve"> should their mental health deteriorate following discharge.</w:t>
            </w:r>
            <w:r w:rsidR="00EB246B" w:rsidRPr="00717B61">
              <w:rPr>
                <w:color w:val="auto"/>
              </w:rPr>
              <w:br/>
            </w:r>
          </w:p>
          <w:p w14:paraId="5D530CEC" w14:textId="3322B321" w:rsidR="00EB246B" w:rsidRPr="00717B61" w:rsidRDefault="00BE315B" w:rsidP="00BE315B">
            <w:pPr>
              <w:rPr>
                <w:color w:val="auto"/>
              </w:rPr>
            </w:pPr>
            <w:r w:rsidRPr="00717B61">
              <w:rPr>
                <w:color w:val="auto"/>
              </w:rPr>
              <w:t>Approximately 8.5% of appointments are with a service user whose main spoken language is not English</w:t>
            </w:r>
            <w:r>
              <w:rPr>
                <w:color w:val="auto"/>
              </w:rPr>
              <w:t xml:space="preserve"> within their patient record. The team </w:t>
            </w:r>
            <w:r w:rsidRPr="00717B61">
              <w:rPr>
                <w:color w:val="auto"/>
              </w:rPr>
              <w:t>regularly use interpreting services</w:t>
            </w:r>
            <w:r>
              <w:rPr>
                <w:color w:val="auto"/>
              </w:rPr>
              <w:t xml:space="preserve">, with 47 appointments in the last 3 months, with just over half of interpreting provision provided by a </w:t>
            </w:r>
            <w:r w:rsidR="00B75521">
              <w:rPr>
                <w:color w:val="auto"/>
              </w:rPr>
              <w:t>face-to-face</w:t>
            </w:r>
            <w:r>
              <w:rPr>
                <w:color w:val="auto"/>
              </w:rPr>
              <w:t xml:space="preserve"> interpreter. The most common interpreting languages accessed were </w:t>
            </w:r>
            <w:r w:rsidRPr="00BE315B">
              <w:rPr>
                <w:color w:val="auto"/>
              </w:rPr>
              <w:t>Persian</w:t>
            </w:r>
            <w:r>
              <w:rPr>
                <w:color w:val="auto"/>
              </w:rPr>
              <w:t xml:space="preserve">, </w:t>
            </w:r>
            <w:r w:rsidRPr="00BE315B">
              <w:rPr>
                <w:color w:val="auto"/>
              </w:rPr>
              <w:t>Urdu</w:t>
            </w:r>
            <w:r>
              <w:rPr>
                <w:color w:val="auto"/>
              </w:rPr>
              <w:t xml:space="preserve">, </w:t>
            </w:r>
            <w:r w:rsidRPr="00BE315B">
              <w:rPr>
                <w:color w:val="auto"/>
              </w:rPr>
              <w:t>Slovak</w:t>
            </w:r>
            <w:r>
              <w:rPr>
                <w:color w:val="auto"/>
              </w:rPr>
              <w:t xml:space="preserve"> and </w:t>
            </w:r>
            <w:r w:rsidRPr="00BE315B">
              <w:rPr>
                <w:color w:val="auto"/>
              </w:rPr>
              <w:t>Arabic</w:t>
            </w:r>
            <w:r>
              <w:rPr>
                <w:color w:val="auto"/>
              </w:rPr>
              <w:t>.</w:t>
            </w:r>
            <w:r w:rsidR="00CC5465">
              <w:rPr>
                <w:color w:val="auto"/>
              </w:rPr>
              <w:t xml:space="preserve"> </w:t>
            </w:r>
            <w:r w:rsidR="00EB246B" w:rsidRPr="00717B61">
              <w:rPr>
                <w:color w:val="auto"/>
              </w:rPr>
              <w:t xml:space="preserve">Input from the team highlighted that having </w:t>
            </w:r>
            <w:r w:rsidR="00CC5465">
              <w:rPr>
                <w:color w:val="auto"/>
              </w:rPr>
              <w:t xml:space="preserve">a </w:t>
            </w:r>
            <w:r w:rsidR="00EB246B" w:rsidRPr="00717B61">
              <w:rPr>
                <w:color w:val="auto"/>
              </w:rPr>
              <w:t xml:space="preserve">culturally and ethnically diverse team supports with meeting the needs of our diverse community in Bradford District </w:t>
            </w:r>
            <w:r w:rsidR="008A5669">
              <w:rPr>
                <w:color w:val="auto"/>
              </w:rPr>
              <w:t>and</w:t>
            </w:r>
            <w:r w:rsidR="00EB246B" w:rsidRPr="00717B61">
              <w:rPr>
                <w:color w:val="auto"/>
              </w:rPr>
              <w:t xml:space="preserve"> Craven, </w:t>
            </w:r>
            <w:r w:rsidR="00AA01F4">
              <w:rPr>
                <w:color w:val="auto"/>
              </w:rPr>
              <w:t>and there are</w:t>
            </w:r>
            <w:r w:rsidR="00EB246B" w:rsidRPr="00717B61">
              <w:rPr>
                <w:color w:val="auto"/>
              </w:rPr>
              <w:t xml:space="preserve"> open discussion and ideas</w:t>
            </w:r>
            <w:r w:rsidR="00AA01F4">
              <w:rPr>
                <w:color w:val="auto"/>
              </w:rPr>
              <w:t xml:space="preserve"> shared</w:t>
            </w:r>
            <w:r w:rsidR="00EB246B" w:rsidRPr="00717B61">
              <w:rPr>
                <w:color w:val="auto"/>
              </w:rPr>
              <w:t xml:space="preserve"> between the team</w:t>
            </w:r>
            <w:r w:rsidR="00AA01F4">
              <w:rPr>
                <w:color w:val="auto"/>
              </w:rPr>
              <w:t xml:space="preserve">. </w:t>
            </w:r>
            <w:r>
              <w:rPr>
                <w:color w:val="auto"/>
              </w:rPr>
              <w:br/>
            </w:r>
            <w:r>
              <w:rPr>
                <w:color w:val="auto"/>
              </w:rPr>
              <w:br/>
            </w:r>
            <w:r w:rsidR="001F3A68">
              <w:rPr>
                <w:color w:val="auto"/>
              </w:rPr>
              <w:t>The team</w:t>
            </w:r>
            <w:r w:rsidR="00EB246B" w:rsidRPr="00717B61">
              <w:rPr>
                <w:color w:val="auto"/>
              </w:rPr>
              <w:t xml:space="preserve"> also </w:t>
            </w:r>
            <w:r w:rsidR="001F3A68">
              <w:rPr>
                <w:color w:val="auto"/>
              </w:rPr>
              <w:t>shared that they ensure</w:t>
            </w:r>
            <w:r w:rsidR="00EB246B" w:rsidRPr="00717B61">
              <w:rPr>
                <w:color w:val="auto"/>
              </w:rPr>
              <w:t xml:space="preserve"> discharg</w:t>
            </w:r>
            <w:r w:rsidR="001F3A68">
              <w:rPr>
                <w:color w:val="auto"/>
              </w:rPr>
              <w:t xml:space="preserve">e is </w:t>
            </w:r>
            <w:r w:rsidR="00C84619">
              <w:rPr>
                <w:color w:val="auto"/>
              </w:rPr>
              <w:t>appropriately timed and personalised for</w:t>
            </w:r>
            <w:r w:rsidR="00EB246B" w:rsidRPr="00717B61">
              <w:rPr>
                <w:color w:val="auto"/>
              </w:rPr>
              <w:t xml:space="preserve"> service users</w:t>
            </w:r>
            <w:r w:rsidR="00C84619">
              <w:rPr>
                <w:color w:val="auto"/>
              </w:rPr>
              <w:t xml:space="preserve">, rather than within specific timescales, </w:t>
            </w:r>
            <w:r w:rsidR="00EB246B" w:rsidRPr="00717B61">
              <w:rPr>
                <w:color w:val="auto"/>
              </w:rPr>
              <w:t xml:space="preserve">to ensure that service users are ready to be </w:t>
            </w:r>
            <w:r w:rsidR="008B6883" w:rsidRPr="00717B61">
              <w:rPr>
                <w:color w:val="auto"/>
              </w:rPr>
              <w:t>discharged,</w:t>
            </w:r>
            <w:r w:rsidR="00EB246B" w:rsidRPr="00717B61">
              <w:rPr>
                <w:color w:val="auto"/>
              </w:rPr>
              <w:t xml:space="preserve"> and that appropriate follow up care is in place prior to this. Open conversations within the team, offering training on cultural competency and improving </w:t>
            </w:r>
            <w:r w:rsidR="00C84619">
              <w:rPr>
                <w:color w:val="auto"/>
              </w:rPr>
              <w:t xml:space="preserve">access to </w:t>
            </w:r>
            <w:r w:rsidR="00EB246B" w:rsidRPr="00717B61">
              <w:rPr>
                <w:color w:val="auto"/>
              </w:rPr>
              <w:t>interpreting provision, particularly relating to ad-hoc provision, were identified as potential improvements to better meet the needs of our communities.</w:t>
            </w:r>
          </w:p>
        </w:tc>
      </w:tr>
      <w:tr w:rsidR="00717B61" w:rsidRPr="00717B61" w14:paraId="293C83EF" w14:textId="337D0E3B" w:rsidTr="00717B61">
        <w:trPr>
          <w:cnfStyle w:val="000000100000" w:firstRow="0" w:lastRow="0" w:firstColumn="0" w:lastColumn="0" w:oddVBand="0" w:evenVBand="0" w:oddHBand="1" w:evenHBand="0" w:firstRowFirstColumn="0" w:firstRowLastColumn="0" w:lastRowFirstColumn="0" w:lastRowLastColumn="0"/>
        </w:trPr>
        <w:tc>
          <w:tcPr>
            <w:tcW w:w="11757" w:type="dxa"/>
            <w:tcBorders>
              <w:top w:val="single" w:sz="4" w:space="0" w:color="auto"/>
              <w:left w:val="single" w:sz="4" w:space="0" w:color="auto"/>
              <w:bottom w:val="single" w:sz="4" w:space="0" w:color="auto"/>
              <w:right w:val="single" w:sz="4" w:space="0" w:color="auto"/>
            </w:tcBorders>
            <w:shd w:val="clear" w:color="auto" w:fill="005EB8"/>
          </w:tcPr>
          <w:p w14:paraId="0AACFB97" w14:textId="723DC8F0" w:rsidR="006934AF" w:rsidRPr="00717B61" w:rsidRDefault="006934AF" w:rsidP="003F70B7">
            <w:pPr>
              <w:rPr>
                <w:b/>
                <w:bCs/>
                <w:color w:val="FFFFFF" w:themeColor="background1"/>
              </w:rPr>
            </w:pPr>
            <w:r w:rsidRPr="00717B61">
              <w:rPr>
                <w:rFonts w:cs="Arial"/>
                <w:b/>
                <w:bCs/>
                <w:color w:val="FFFFFF" w:themeColor="background1"/>
              </w:rPr>
              <w:lastRenderedPageBreak/>
              <w:t>Outcome 1C: When patients (service users) use the service, they are free from harm</w:t>
            </w:r>
          </w:p>
        </w:tc>
        <w:tc>
          <w:tcPr>
            <w:tcW w:w="2186" w:type="dxa"/>
            <w:tcBorders>
              <w:top w:val="single" w:sz="4" w:space="0" w:color="auto"/>
              <w:left w:val="single" w:sz="4" w:space="0" w:color="auto"/>
              <w:bottom w:val="single" w:sz="4" w:space="0" w:color="auto"/>
              <w:right w:val="single" w:sz="4" w:space="0" w:color="auto"/>
            </w:tcBorders>
            <w:shd w:val="clear" w:color="auto" w:fill="005EB8"/>
          </w:tcPr>
          <w:p w14:paraId="5F97AE2C" w14:textId="178AF5F8" w:rsidR="006934AF" w:rsidRPr="00717B61" w:rsidRDefault="006934AF" w:rsidP="003F70B7">
            <w:pPr>
              <w:rPr>
                <w:rFonts w:cs="Arial"/>
                <w:b/>
                <w:bCs/>
                <w:color w:val="FFFFFF" w:themeColor="background1"/>
              </w:rPr>
            </w:pPr>
            <w:r w:rsidRPr="00717B61">
              <w:rPr>
                <w:rFonts w:cs="Arial"/>
                <w:b/>
                <w:bCs/>
                <w:color w:val="FFFFFF" w:themeColor="background1"/>
              </w:rPr>
              <w:t xml:space="preserve">Score: </w:t>
            </w:r>
            <w:r w:rsidR="00584D80">
              <w:rPr>
                <w:rFonts w:cs="Arial"/>
                <w:b/>
                <w:bCs/>
                <w:color w:val="FFFFFF" w:themeColor="background1"/>
              </w:rPr>
              <w:t>2</w:t>
            </w:r>
          </w:p>
        </w:tc>
      </w:tr>
      <w:tr w:rsidR="00717B61" w:rsidRPr="00717B61" w14:paraId="4067B5E2" w14:textId="5901A56D" w:rsidTr="00717B61">
        <w:tc>
          <w:tcPr>
            <w:tcW w:w="13943" w:type="dxa"/>
            <w:gridSpan w:val="2"/>
          </w:tcPr>
          <w:p w14:paraId="2853A2FE" w14:textId="77777777" w:rsidR="006934AF" w:rsidRPr="00717B61" w:rsidRDefault="006934AF" w:rsidP="003F70B7">
            <w:pPr>
              <w:rPr>
                <w:b/>
                <w:bCs/>
                <w:color w:val="auto"/>
              </w:rPr>
            </w:pPr>
            <w:r w:rsidRPr="00717B61">
              <w:rPr>
                <w:b/>
                <w:bCs/>
                <w:color w:val="auto"/>
              </w:rPr>
              <w:t>Evidence:</w:t>
            </w:r>
          </w:p>
          <w:p w14:paraId="0CB4F929" w14:textId="71348C79" w:rsidR="00EB246B" w:rsidRPr="00717B61" w:rsidRDefault="00F21A3B" w:rsidP="003F70B7">
            <w:pPr>
              <w:rPr>
                <w:color w:val="auto"/>
              </w:rPr>
            </w:pPr>
            <w:r w:rsidRPr="00717B61">
              <w:rPr>
                <w:color w:val="auto"/>
              </w:rPr>
              <w:t xml:space="preserve">As mentioned in section 1B – all service users are risk assessed and crisis plans are co-developed with the service users to ensure they </w:t>
            </w:r>
            <w:r w:rsidR="00F8312F" w:rsidRPr="00717B61">
              <w:rPr>
                <w:color w:val="auto"/>
              </w:rPr>
              <w:t xml:space="preserve">have information to access support if required. </w:t>
            </w:r>
            <w:r w:rsidR="00F17433">
              <w:rPr>
                <w:color w:val="auto"/>
              </w:rPr>
              <w:t xml:space="preserve">The RAG board supports safety by ensuring patients receive the appropriate level of contact and have their care reviewed regularly. </w:t>
            </w:r>
            <w:r w:rsidR="00F8312F" w:rsidRPr="00717B61">
              <w:rPr>
                <w:color w:val="auto"/>
              </w:rPr>
              <w:t xml:space="preserve">Patient leaflets include information for the First Response service within </w:t>
            </w:r>
            <w:r w:rsidR="008A5669">
              <w:rPr>
                <w:color w:val="auto"/>
              </w:rPr>
              <w:t>BDCFT</w:t>
            </w:r>
            <w:r w:rsidR="00F8312F" w:rsidRPr="00717B61">
              <w:rPr>
                <w:color w:val="auto"/>
              </w:rPr>
              <w:t xml:space="preserve"> which provides a 24/</w:t>
            </w:r>
            <w:r w:rsidR="00921E8A" w:rsidRPr="00717B61">
              <w:rPr>
                <w:color w:val="auto"/>
              </w:rPr>
              <w:t>7 phone line and</w:t>
            </w:r>
            <w:r w:rsidR="00F8312F" w:rsidRPr="00717B61">
              <w:rPr>
                <w:color w:val="auto"/>
              </w:rPr>
              <w:t xml:space="preserve"> external crisis phone lines</w:t>
            </w:r>
            <w:r w:rsidR="00921E8A" w:rsidRPr="00717B61">
              <w:rPr>
                <w:color w:val="auto"/>
              </w:rPr>
              <w:t xml:space="preserve"> are also provided.</w:t>
            </w:r>
            <w:r w:rsidR="00EB246B" w:rsidRPr="00717B61">
              <w:rPr>
                <w:color w:val="auto"/>
              </w:rPr>
              <w:t xml:space="preserve"> Staff felt that service users typically have positive experiences of the team.</w:t>
            </w:r>
          </w:p>
          <w:p w14:paraId="7FD703E8" w14:textId="77777777" w:rsidR="00176F7C" w:rsidRPr="00717B61" w:rsidRDefault="00176F7C" w:rsidP="003F70B7">
            <w:pPr>
              <w:rPr>
                <w:color w:val="auto"/>
              </w:rPr>
            </w:pPr>
          </w:p>
          <w:p w14:paraId="2F341F77" w14:textId="66925C08" w:rsidR="00584D80" w:rsidRPr="00275EA3" w:rsidRDefault="00176F7C" w:rsidP="000A2370">
            <w:pPr>
              <w:rPr>
                <w:color w:val="auto"/>
              </w:rPr>
            </w:pPr>
            <w:r w:rsidRPr="00717B61">
              <w:rPr>
                <w:color w:val="auto"/>
              </w:rPr>
              <w:lastRenderedPageBreak/>
              <w:t xml:space="preserve">Incident data and themes are reviewed by </w:t>
            </w:r>
            <w:r w:rsidR="00451480" w:rsidRPr="00717B61">
              <w:rPr>
                <w:color w:val="auto"/>
              </w:rPr>
              <w:t>the leadership</w:t>
            </w:r>
            <w:r w:rsidRPr="00717B61">
              <w:rPr>
                <w:color w:val="auto"/>
              </w:rPr>
              <w:t xml:space="preserve"> </w:t>
            </w:r>
            <w:r w:rsidR="000A4D8C">
              <w:rPr>
                <w:color w:val="auto"/>
              </w:rPr>
              <w:t>regularly</w:t>
            </w:r>
            <w:r w:rsidR="00451480" w:rsidRPr="00717B61">
              <w:rPr>
                <w:color w:val="auto"/>
              </w:rPr>
              <w:t xml:space="preserve"> and a</w:t>
            </w:r>
            <w:r w:rsidR="000A4D8C">
              <w:rPr>
                <w:color w:val="auto"/>
              </w:rPr>
              <w:t>re discussed with team members at huddles</w:t>
            </w:r>
            <w:r w:rsidRPr="00717B61">
              <w:rPr>
                <w:color w:val="auto"/>
              </w:rPr>
              <w:t>. Over the past year there have been 88 incidents reported across the IHTT</w:t>
            </w:r>
            <w:r w:rsidR="00015A62">
              <w:rPr>
                <w:color w:val="auto"/>
              </w:rPr>
              <w:t>,</w:t>
            </w:r>
            <w:r w:rsidR="00DD25FC">
              <w:rPr>
                <w:color w:val="auto"/>
              </w:rPr>
              <w:t xml:space="preserve"> </w:t>
            </w:r>
            <w:r w:rsidR="00015A62">
              <w:rPr>
                <w:color w:val="auto"/>
              </w:rPr>
              <w:t>evidencing a learning culture</w:t>
            </w:r>
            <w:r w:rsidR="00DD25FC">
              <w:rPr>
                <w:color w:val="auto"/>
              </w:rPr>
              <w:t xml:space="preserve"> where staff feel safe to report incidents</w:t>
            </w:r>
            <w:r w:rsidR="00015A62">
              <w:rPr>
                <w:color w:val="auto"/>
              </w:rPr>
              <w:t xml:space="preserve">. </w:t>
            </w:r>
            <w:r w:rsidR="000A2370" w:rsidRPr="00717B61">
              <w:rPr>
                <w:color w:val="auto"/>
              </w:rPr>
              <w:t>When broken down by ethnicity, 52% of these incidents related to patients who are white, 22% were ethnically diverse and 26% the ethnicity was not disclosed. The age profile and gender of incidents was consistent with the caseload.</w:t>
            </w:r>
            <w:r w:rsidR="00451480" w:rsidRPr="00717B61">
              <w:rPr>
                <w:color w:val="auto"/>
              </w:rPr>
              <w:t xml:space="preserve"> </w:t>
            </w:r>
            <w:r w:rsidR="00653CAD" w:rsidRPr="00717B61">
              <w:rPr>
                <w:color w:val="auto"/>
              </w:rPr>
              <w:t>The most common cause group for patient safety incidents were</w:t>
            </w:r>
            <w:r w:rsidR="007067A7" w:rsidRPr="00717B61">
              <w:rPr>
                <w:color w:val="auto"/>
              </w:rPr>
              <w:t xml:space="preserve"> </w:t>
            </w:r>
            <w:r w:rsidR="0041552B" w:rsidRPr="00717B61">
              <w:rPr>
                <w:color w:val="auto"/>
              </w:rPr>
              <w:t xml:space="preserve">relating to self-harming behaviour </w:t>
            </w:r>
            <w:r w:rsidR="002812E4" w:rsidRPr="00717B61">
              <w:rPr>
                <w:color w:val="auto"/>
              </w:rPr>
              <w:t xml:space="preserve">(33%), access/admission issues (22%) or physical violence </w:t>
            </w:r>
            <w:r w:rsidR="008A5669">
              <w:rPr>
                <w:color w:val="auto"/>
              </w:rPr>
              <w:t>and</w:t>
            </w:r>
            <w:r w:rsidR="002812E4" w:rsidRPr="00717B61">
              <w:rPr>
                <w:color w:val="auto"/>
              </w:rPr>
              <w:t xml:space="preserve"> aggression (8%)</w:t>
            </w:r>
            <w:r w:rsidR="004025B7">
              <w:rPr>
                <w:color w:val="auto"/>
              </w:rPr>
              <w:t>, which is</w:t>
            </w:r>
            <w:r w:rsidR="00B40E08">
              <w:rPr>
                <w:color w:val="auto"/>
              </w:rPr>
              <w:t xml:space="preserve"> in line with </w:t>
            </w:r>
            <w:r w:rsidR="004025B7">
              <w:rPr>
                <w:color w:val="auto"/>
              </w:rPr>
              <w:t xml:space="preserve">a high acuity caseload. </w:t>
            </w:r>
            <w:proofErr w:type="gramStart"/>
            <w:r w:rsidR="00E62F49" w:rsidRPr="00717B61">
              <w:rPr>
                <w:color w:val="auto"/>
              </w:rPr>
              <w:t>The majority of</w:t>
            </w:r>
            <w:proofErr w:type="gramEnd"/>
            <w:r w:rsidR="00E62F49" w:rsidRPr="00717B61">
              <w:rPr>
                <w:color w:val="auto"/>
              </w:rPr>
              <w:t xml:space="preserve"> incidents had no harm impacts (62%), a further 18% </w:t>
            </w:r>
            <w:r w:rsidR="0081551D" w:rsidRPr="00717B61">
              <w:rPr>
                <w:color w:val="auto"/>
              </w:rPr>
              <w:t>resulting in minor harm, 12% moderate and 8% major or catastrophic.</w:t>
            </w:r>
          </w:p>
        </w:tc>
      </w:tr>
      <w:tr w:rsidR="00717B61" w:rsidRPr="00717B61" w14:paraId="2DA85E60" w14:textId="4CF94B27" w:rsidTr="00717B61">
        <w:trPr>
          <w:cnfStyle w:val="000000100000" w:firstRow="0" w:lastRow="0" w:firstColumn="0" w:lastColumn="0" w:oddVBand="0" w:evenVBand="0" w:oddHBand="1" w:evenHBand="0" w:firstRowFirstColumn="0" w:firstRowLastColumn="0" w:lastRowFirstColumn="0" w:lastRowLastColumn="0"/>
        </w:trPr>
        <w:tc>
          <w:tcPr>
            <w:tcW w:w="11757" w:type="dxa"/>
            <w:tcBorders>
              <w:top w:val="single" w:sz="4" w:space="0" w:color="auto"/>
              <w:left w:val="single" w:sz="4" w:space="0" w:color="auto"/>
              <w:bottom w:val="single" w:sz="4" w:space="0" w:color="auto"/>
              <w:right w:val="single" w:sz="4" w:space="0" w:color="auto"/>
            </w:tcBorders>
            <w:shd w:val="clear" w:color="auto" w:fill="005EB8"/>
          </w:tcPr>
          <w:p w14:paraId="40CA5840" w14:textId="501C90AC" w:rsidR="006934AF" w:rsidRPr="00717B61" w:rsidRDefault="006934AF" w:rsidP="003F70B7">
            <w:pPr>
              <w:rPr>
                <w:b/>
                <w:bCs/>
                <w:color w:val="FFFFFF" w:themeColor="background1"/>
              </w:rPr>
            </w:pPr>
            <w:r w:rsidRPr="00717B61">
              <w:rPr>
                <w:rFonts w:cs="Arial"/>
                <w:b/>
                <w:bCs/>
                <w:color w:val="FFFFFF" w:themeColor="background1"/>
              </w:rPr>
              <w:lastRenderedPageBreak/>
              <w:t>Outcome 1D: Patients (service users) report positive experiences of the service</w:t>
            </w:r>
          </w:p>
        </w:tc>
        <w:tc>
          <w:tcPr>
            <w:tcW w:w="2186" w:type="dxa"/>
            <w:tcBorders>
              <w:top w:val="single" w:sz="4" w:space="0" w:color="auto"/>
              <w:left w:val="single" w:sz="4" w:space="0" w:color="auto"/>
              <w:bottom w:val="single" w:sz="4" w:space="0" w:color="auto"/>
              <w:right w:val="single" w:sz="4" w:space="0" w:color="auto"/>
            </w:tcBorders>
            <w:shd w:val="clear" w:color="auto" w:fill="005EB8"/>
          </w:tcPr>
          <w:p w14:paraId="12C4EA57" w14:textId="305815EE" w:rsidR="006934AF" w:rsidRPr="00717B61" w:rsidRDefault="006934AF" w:rsidP="003F70B7">
            <w:pPr>
              <w:rPr>
                <w:rFonts w:cs="Arial"/>
                <w:b/>
                <w:bCs/>
                <w:color w:val="FFFFFF" w:themeColor="background1"/>
              </w:rPr>
            </w:pPr>
            <w:r w:rsidRPr="00717B61">
              <w:rPr>
                <w:rFonts w:cs="Arial"/>
                <w:b/>
                <w:bCs/>
                <w:color w:val="FFFFFF" w:themeColor="background1"/>
              </w:rPr>
              <w:t xml:space="preserve">Score: </w:t>
            </w:r>
            <w:r w:rsidR="00584D80">
              <w:rPr>
                <w:rFonts w:cs="Arial"/>
                <w:b/>
                <w:bCs/>
                <w:color w:val="FFFFFF" w:themeColor="background1"/>
              </w:rPr>
              <w:t xml:space="preserve">1 </w:t>
            </w:r>
          </w:p>
        </w:tc>
      </w:tr>
      <w:tr w:rsidR="00717B61" w:rsidRPr="00717B61" w14:paraId="26E5740E" w14:textId="275ED6E9" w:rsidTr="00717B61">
        <w:tc>
          <w:tcPr>
            <w:tcW w:w="13943" w:type="dxa"/>
            <w:gridSpan w:val="2"/>
          </w:tcPr>
          <w:p w14:paraId="4F0AF499" w14:textId="7E6E1B36" w:rsidR="00BE0A4E" w:rsidRPr="00717B61" w:rsidRDefault="006934AF" w:rsidP="003F70B7">
            <w:pPr>
              <w:rPr>
                <w:b/>
                <w:bCs/>
                <w:color w:val="auto"/>
              </w:rPr>
            </w:pPr>
            <w:r w:rsidRPr="00717B61">
              <w:rPr>
                <w:b/>
                <w:bCs/>
                <w:color w:val="auto"/>
              </w:rPr>
              <w:t>Evidence:</w:t>
            </w:r>
          </w:p>
          <w:p w14:paraId="078DB405" w14:textId="5A9D1DF3" w:rsidR="003D0C12" w:rsidRDefault="00D326B1" w:rsidP="003F70B7">
            <w:pPr>
              <w:rPr>
                <w:color w:val="auto"/>
              </w:rPr>
            </w:pPr>
            <w:r w:rsidRPr="00717B61">
              <w:rPr>
                <w:color w:val="auto"/>
              </w:rPr>
              <w:t xml:space="preserve">There were a total of 10 complaints </w:t>
            </w:r>
            <w:r w:rsidR="003D0C12" w:rsidRPr="00717B61">
              <w:rPr>
                <w:color w:val="auto"/>
              </w:rPr>
              <w:t xml:space="preserve">and 31 compliments for IHTT </w:t>
            </w:r>
            <w:r w:rsidR="00F9409E" w:rsidRPr="00717B61">
              <w:rPr>
                <w:color w:val="auto"/>
              </w:rPr>
              <w:t>between November 2023 to 2024</w:t>
            </w:r>
            <w:r w:rsidR="003D0C12" w:rsidRPr="00717B61">
              <w:rPr>
                <w:color w:val="auto"/>
              </w:rPr>
              <w:t xml:space="preserve">. </w:t>
            </w:r>
            <w:r w:rsidR="00110D9A">
              <w:rPr>
                <w:color w:val="auto"/>
              </w:rPr>
              <w:t>It is not currently possible to provide demographic breakdown</w:t>
            </w:r>
            <w:r w:rsidR="009A4E87">
              <w:rPr>
                <w:color w:val="auto"/>
              </w:rPr>
              <w:t>s</w:t>
            </w:r>
            <w:r w:rsidR="00110D9A">
              <w:rPr>
                <w:color w:val="auto"/>
              </w:rPr>
              <w:t xml:space="preserve"> of</w:t>
            </w:r>
            <w:r w:rsidR="009A4E87">
              <w:rPr>
                <w:color w:val="auto"/>
              </w:rPr>
              <w:t xml:space="preserve"> complaint data due to system interoperability issues. </w:t>
            </w:r>
            <w:r w:rsidR="003D0C12" w:rsidRPr="00717B61">
              <w:rPr>
                <w:color w:val="auto"/>
              </w:rPr>
              <w:t xml:space="preserve">Team leaders keep local records of complaints and </w:t>
            </w:r>
            <w:proofErr w:type="gramStart"/>
            <w:r w:rsidR="003D0C12" w:rsidRPr="00717B61">
              <w:rPr>
                <w:color w:val="auto"/>
              </w:rPr>
              <w:t>compliments</w:t>
            </w:r>
            <w:proofErr w:type="gramEnd"/>
            <w:r w:rsidR="003D0C12" w:rsidRPr="00717B61">
              <w:rPr>
                <w:color w:val="auto"/>
              </w:rPr>
              <w:t xml:space="preserve"> </w:t>
            </w:r>
            <w:r w:rsidR="00084A99" w:rsidRPr="00717B61">
              <w:rPr>
                <w:color w:val="auto"/>
              </w:rPr>
              <w:t xml:space="preserve">and this is shared with the Patient Experience team who collate these with other feedback. </w:t>
            </w:r>
            <w:r w:rsidR="007A0D2E" w:rsidRPr="00717B61">
              <w:rPr>
                <w:color w:val="auto"/>
              </w:rPr>
              <w:t xml:space="preserve">Patient information leaflets include </w:t>
            </w:r>
            <w:r w:rsidR="00BE0A4E" w:rsidRPr="00717B61">
              <w:rPr>
                <w:color w:val="auto"/>
              </w:rPr>
              <w:t xml:space="preserve">PALS contact details to support feedback. </w:t>
            </w:r>
          </w:p>
          <w:p w14:paraId="05CFB90D" w14:textId="77777777" w:rsidR="009A4E87" w:rsidRPr="00717B61" w:rsidRDefault="009A4E87" w:rsidP="003F70B7">
            <w:pPr>
              <w:rPr>
                <w:color w:val="auto"/>
              </w:rPr>
            </w:pPr>
          </w:p>
          <w:p w14:paraId="3D4A5607" w14:textId="125965E7" w:rsidR="003D0C12" w:rsidRPr="00584D80" w:rsidRDefault="003D0C12" w:rsidP="003F70B7">
            <w:pPr>
              <w:rPr>
                <w:b/>
                <w:bCs/>
                <w:color w:val="auto"/>
              </w:rPr>
            </w:pPr>
            <w:r w:rsidRPr="00717B61">
              <w:rPr>
                <w:color w:val="auto"/>
              </w:rPr>
              <w:t>There were no FFT responses for Airedale or Bradford IHTT between April and September 2024, likely owing to the current method of feedback collection</w:t>
            </w:r>
            <w:r w:rsidR="009A4E87">
              <w:rPr>
                <w:color w:val="auto"/>
              </w:rPr>
              <w:t xml:space="preserve">, with </w:t>
            </w:r>
            <w:r w:rsidRPr="00717B61">
              <w:rPr>
                <w:color w:val="auto"/>
              </w:rPr>
              <w:t xml:space="preserve">paper FFT uptake </w:t>
            </w:r>
            <w:r w:rsidR="009A4E87">
              <w:rPr>
                <w:color w:val="auto"/>
              </w:rPr>
              <w:t>being</w:t>
            </w:r>
            <w:r w:rsidRPr="00717B61">
              <w:rPr>
                <w:color w:val="auto"/>
              </w:rPr>
              <w:t xml:space="preserve"> low across the trust. The </w:t>
            </w:r>
            <w:r w:rsidR="00084A99" w:rsidRPr="00717B61">
              <w:rPr>
                <w:color w:val="auto"/>
              </w:rPr>
              <w:t xml:space="preserve">service </w:t>
            </w:r>
            <w:proofErr w:type="gramStart"/>
            <w:r w:rsidR="00084A99" w:rsidRPr="00717B61">
              <w:rPr>
                <w:color w:val="auto"/>
              </w:rPr>
              <w:t>are</w:t>
            </w:r>
            <w:proofErr w:type="gramEnd"/>
            <w:r w:rsidR="00084A99" w:rsidRPr="00717B61">
              <w:rPr>
                <w:color w:val="auto"/>
              </w:rPr>
              <w:t xml:space="preserve"> considering how to better involve service users and capture </w:t>
            </w:r>
            <w:r w:rsidR="009A4E87">
              <w:rPr>
                <w:color w:val="auto"/>
              </w:rPr>
              <w:t>additional</w:t>
            </w:r>
            <w:r w:rsidR="00084A99" w:rsidRPr="00717B61">
              <w:rPr>
                <w:color w:val="auto"/>
              </w:rPr>
              <w:t xml:space="preserve"> feedback but </w:t>
            </w:r>
            <w:r w:rsidR="009A4E87">
              <w:rPr>
                <w:color w:val="auto"/>
              </w:rPr>
              <w:t xml:space="preserve">are also conscious that </w:t>
            </w:r>
            <w:r w:rsidR="00BD4F73">
              <w:rPr>
                <w:color w:val="auto"/>
              </w:rPr>
              <w:t>feedback collection should be sensitively</w:t>
            </w:r>
            <w:r w:rsidR="00084A99" w:rsidRPr="00717B61">
              <w:rPr>
                <w:color w:val="auto"/>
              </w:rPr>
              <w:t xml:space="preserve"> timed and delivered, given that most service users are in crisis at the time of access. The clinical lead for IHTT is </w:t>
            </w:r>
            <w:r w:rsidR="00B8759F">
              <w:rPr>
                <w:color w:val="auto"/>
              </w:rPr>
              <w:t>exploring</w:t>
            </w:r>
            <w:r w:rsidR="00084A99" w:rsidRPr="00717B61">
              <w:rPr>
                <w:color w:val="auto"/>
              </w:rPr>
              <w:t xml:space="preserve"> piloting a patient forum for First Response to capture feedback, with potential to expand this model </w:t>
            </w:r>
            <w:r w:rsidR="00927789" w:rsidRPr="00717B61">
              <w:rPr>
                <w:color w:val="auto"/>
              </w:rPr>
              <w:t>for</w:t>
            </w:r>
            <w:r w:rsidR="00084A99" w:rsidRPr="00717B61">
              <w:rPr>
                <w:color w:val="auto"/>
              </w:rPr>
              <w:t xml:space="preserve"> IHTT in the future.</w:t>
            </w:r>
          </w:p>
          <w:p w14:paraId="1B17C519" w14:textId="77777777" w:rsidR="00B8759F" w:rsidRDefault="00B8759F" w:rsidP="003F70B7">
            <w:pPr>
              <w:rPr>
                <w:b/>
                <w:color w:val="auto"/>
              </w:rPr>
            </w:pPr>
          </w:p>
          <w:p w14:paraId="7C67712C" w14:textId="638F2886" w:rsidR="00185DC8" w:rsidRPr="00185DC8" w:rsidRDefault="00B8759F" w:rsidP="00A742C0">
            <w:pPr>
              <w:rPr>
                <w:b/>
                <w:bCs/>
                <w:color w:val="auto"/>
              </w:rPr>
            </w:pPr>
            <w:r>
              <w:rPr>
                <w:color w:val="auto"/>
              </w:rPr>
              <w:t xml:space="preserve">Following the closure of </w:t>
            </w:r>
            <w:r w:rsidRPr="00B8759F">
              <w:rPr>
                <w:color w:val="auto"/>
              </w:rPr>
              <w:t xml:space="preserve">business </w:t>
            </w:r>
            <w:r>
              <w:rPr>
                <w:color w:val="auto"/>
              </w:rPr>
              <w:t>of</w:t>
            </w:r>
            <w:r w:rsidRPr="00B8759F">
              <w:rPr>
                <w:color w:val="auto"/>
              </w:rPr>
              <w:t xml:space="preserve"> the </w:t>
            </w:r>
            <w:r>
              <w:rPr>
                <w:color w:val="auto"/>
              </w:rPr>
              <w:t>previous FFT provider, there is work ongoing in the trust to procure and implement digital FFT collection via a new provider which will enable teams across the organisation to collect feedback via QR codes. Data will be available by demographic groups, to identify feedback themes specific to protected characteristics.</w:t>
            </w:r>
          </w:p>
        </w:tc>
      </w:tr>
      <w:tr w:rsidR="00717B61" w:rsidRPr="00717B61" w14:paraId="119554A9" w14:textId="047E290F" w:rsidTr="00717B61">
        <w:trPr>
          <w:cnfStyle w:val="000000100000" w:firstRow="0" w:lastRow="0" w:firstColumn="0" w:lastColumn="0" w:oddVBand="0" w:evenVBand="0" w:oddHBand="1" w:evenHBand="0" w:firstRowFirstColumn="0" w:firstRowLastColumn="0" w:lastRowFirstColumn="0" w:lastRowLastColumn="0"/>
        </w:trPr>
        <w:tc>
          <w:tcPr>
            <w:tcW w:w="11757" w:type="dxa"/>
            <w:tcBorders>
              <w:top w:val="single" w:sz="4" w:space="0" w:color="auto"/>
              <w:left w:val="single" w:sz="4" w:space="0" w:color="auto"/>
              <w:bottom w:val="single" w:sz="4" w:space="0" w:color="auto"/>
              <w:right w:val="single" w:sz="4" w:space="0" w:color="auto"/>
            </w:tcBorders>
            <w:shd w:val="clear" w:color="auto" w:fill="005EB8"/>
          </w:tcPr>
          <w:p w14:paraId="1E6130AE" w14:textId="58790F25" w:rsidR="006934AF" w:rsidRPr="00717B61" w:rsidRDefault="006934AF" w:rsidP="003F70B7">
            <w:pPr>
              <w:rPr>
                <w:b/>
                <w:bCs/>
                <w:color w:val="FFFFFF" w:themeColor="background1"/>
              </w:rPr>
            </w:pPr>
            <w:r w:rsidRPr="00717B61">
              <w:rPr>
                <w:b/>
                <w:bCs/>
                <w:color w:val="FFFFFF" w:themeColor="background1"/>
              </w:rPr>
              <w:t>Domain 1 – IHTT Overall</w:t>
            </w:r>
          </w:p>
        </w:tc>
        <w:tc>
          <w:tcPr>
            <w:tcW w:w="2186" w:type="dxa"/>
            <w:tcBorders>
              <w:top w:val="single" w:sz="4" w:space="0" w:color="auto"/>
              <w:left w:val="single" w:sz="4" w:space="0" w:color="auto"/>
              <w:bottom w:val="single" w:sz="4" w:space="0" w:color="auto"/>
              <w:right w:val="single" w:sz="4" w:space="0" w:color="auto"/>
            </w:tcBorders>
            <w:shd w:val="clear" w:color="auto" w:fill="005EB8"/>
          </w:tcPr>
          <w:p w14:paraId="76F9CD95" w14:textId="6E42BD85" w:rsidR="006934AF" w:rsidRPr="00717B61" w:rsidRDefault="006934AF" w:rsidP="003F70B7">
            <w:pPr>
              <w:rPr>
                <w:b/>
                <w:bCs/>
                <w:color w:val="FFFFFF" w:themeColor="background1"/>
              </w:rPr>
            </w:pPr>
            <w:r w:rsidRPr="00717B61">
              <w:rPr>
                <w:b/>
                <w:bCs/>
                <w:color w:val="FFFFFF" w:themeColor="background1"/>
              </w:rPr>
              <w:t xml:space="preserve">Score: </w:t>
            </w:r>
            <w:r w:rsidR="00F62734">
              <w:rPr>
                <w:b/>
                <w:bCs/>
                <w:color w:val="FFFFFF" w:themeColor="background1"/>
              </w:rPr>
              <w:t>8</w:t>
            </w:r>
            <w:r w:rsidR="00A66B11">
              <w:rPr>
                <w:b/>
                <w:bCs/>
                <w:color w:val="FFFFFF" w:themeColor="background1"/>
              </w:rPr>
              <w:t xml:space="preserve"> </w:t>
            </w:r>
          </w:p>
        </w:tc>
      </w:tr>
    </w:tbl>
    <w:p w14:paraId="22A386F7" w14:textId="5EFA5FA4" w:rsidR="00761F36" w:rsidRDefault="00761F36" w:rsidP="004A1882"/>
    <w:sectPr w:rsidR="00761F36" w:rsidSect="004E12DD">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7A0F7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426D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7647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4ED5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9056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2C04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268E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CCBE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49FCB0FC"/>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401981"/>
    <w:multiLevelType w:val="multilevel"/>
    <w:tmpl w:val="BFEEBD28"/>
    <w:name w:val="nhs_bodytext"/>
    <w:styleLink w:val="NHSBodyText"/>
    <w:lvl w:ilvl="0">
      <w:start w:val="1"/>
      <w:numFmt w:val="decimal"/>
      <w:pStyle w:val="BodyText2"/>
      <w:lvlText w:val="%1."/>
      <w:lvlJc w:val="lef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212109A"/>
    <w:multiLevelType w:val="hybridMultilevel"/>
    <w:tmpl w:val="2AE4EE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53B56E2"/>
    <w:multiLevelType w:val="hybridMultilevel"/>
    <w:tmpl w:val="89783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5E42033"/>
    <w:multiLevelType w:val="hybridMultilevel"/>
    <w:tmpl w:val="DCA2F6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AE944EA"/>
    <w:multiLevelType w:val="multilevel"/>
    <w:tmpl w:val="0B3C4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BF43BC3"/>
    <w:multiLevelType w:val="hybridMultilevel"/>
    <w:tmpl w:val="1F82113A"/>
    <w:lvl w:ilvl="0" w:tplc="B2E0F26A">
      <w:start w:val="1"/>
      <w:numFmt w:val="bullet"/>
      <w:lvlText w:val=""/>
      <w:lvlJc w:val="left"/>
      <w:pPr>
        <w:ind w:left="360" w:hanging="360"/>
      </w:pPr>
      <w:rPr>
        <w:rFonts w:ascii="Symbol" w:hAnsi="Symbol" w:hint="default"/>
        <w:color w:val="4472C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2870B8B"/>
    <w:multiLevelType w:val="multilevel"/>
    <w:tmpl w:val="FE64C92E"/>
    <w:name w:val="nhs_headings"/>
    <w:styleLink w:val="NHSHeadings"/>
    <w:lvl w:ilvl="0">
      <w:start w:val="1"/>
      <w:numFmt w:val="decimal"/>
      <w:pStyle w:val="Heading1Numbered"/>
      <w:suff w:val="space"/>
      <w:lvlText w:val="%1."/>
      <w:lvlJc w:val="left"/>
      <w:pPr>
        <w:ind w:left="0" w:firstLine="0"/>
      </w:pPr>
      <w:rPr>
        <w:rFonts w:hint="default"/>
      </w:rPr>
    </w:lvl>
    <w:lvl w:ilvl="1">
      <w:start w:val="1"/>
      <w:numFmt w:val="decimal"/>
      <w:pStyle w:val="Heading2Numbered"/>
      <w:suff w:val="space"/>
      <w:lvlText w:val="%1.%2"/>
      <w:lvlJc w:val="left"/>
      <w:pPr>
        <w:ind w:left="0" w:firstLine="0"/>
      </w:pPr>
      <w:rPr>
        <w:rFonts w:hint="default"/>
      </w:rPr>
    </w:lvl>
    <w:lvl w:ilvl="2">
      <w:start w:val="1"/>
      <w:numFmt w:val="decimal"/>
      <w:pStyle w:val="Heading3Numbered"/>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3B82E06"/>
    <w:multiLevelType w:val="multilevel"/>
    <w:tmpl w:val="3D08CF68"/>
    <w:name w:val="nhs_bullets"/>
    <w:styleLink w:val="NHSBullets"/>
    <w:lvl w:ilvl="0">
      <w:start w:val="1"/>
      <w:numFmt w:val="bullet"/>
      <w:pStyle w:val="ListBullet"/>
      <w:lvlText w:val=""/>
      <w:lvlJc w:val="left"/>
      <w:pPr>
        <w:tabs>
          <w:tab w:val="num" w:pos="567"/>
        </w:tabs>
        <w:ind w:left="851" w:hanging="284"/>
      </w:pPr>
      <w:rPr>
        <w:rFonts w:ascii="Symbol" w:hAnsi="Symbol" w:hint="default"/>
        <w:color w:val="005EB8"/>
      </w:rPr>
    </w:lvl>
    <w:lvl w:ilvl="1">
      <w:start w:val="1"/>
      <w:numFmt w:val="bullet"/>
      <w:pStyle w:val="ListBullet2"/>
      <w:lvlText w:val="‒"/>
      <w:lvlJc w:val="left"/>
      <w:pPr>
        <w:tabs>
          <w:tab w:val="num" w:pos="1134"/>
        </w:tabs>
        <w:ind w:left="1134" w:hanging="283"/>
      </w:pPr>
      <w:rPr>
        <w:rFonts w:ascii="Arial" w:hAnsi="Arial" w:hint="default"/>
        <w:color w:val="005EB8"/>
      </w:rPr>
    </w:lvl>
    <w:lvl w:ilvl="2">
      <w:start w:val="1"/>
      <w:numFmt w:val="bullet"/>
      <w:pStyle w:val="ListBullet3"/>
      <w:lvlText w:val=""/>
      <w:lvlJc w:val="left"/>
      <w:pPr>
        <w:tabs>
          <w:tab w:val="num" w:pos="1072"/>
        </w:tabs>
        <w:ind w:left="1043" w:hanging="329"/>
      </w:pPr>
      <w:rPr>
        <w:rFonts w:ascii="Symbol" w:hAnsi="Symbol" w:hint="default"/>
        <w:color w:val="auto"/>
      </w:rPr>
    </w:lvl>
    <w:lvl w:ilvl="3">
      <w:start w:val="1"/>
      <w:numFmt w:val="bullet"/>
      <w:pStyle w:val="ListBullet4"/>
      <w:lvlText w:val=""/>
      <w:lvlJc w:val="left"/>
      <w:pPr>
        <w:tabs>
          <w:tab w:val="num" w:pos="1429"/>
        </w:tabs>
        <w:ind w:left="1429" w:hanging="357"/>
      </w:pPr>
      <w:rPr>
        <w:rFonts w:ascii="Symbol" w:hAnsi="Symbol" w:hint="default"/>
        <w:color w:val="auto"/>
      </w:rPr>
    </w:lvl>
    <w:lvl w:ilvl="4">
      <w:start w:val="1"/>
      <w:numFmt w:val="bullet"/>
      <w:pStyle w:val="ListBullet5"/>
      <w:lvlText w:val=""/>
      <w:lvlJc w:val="left"/>
      <w:pPr>
        <w:tabs>
          <w:tab w:val="num" w:pos="1786"/>
        </w:tabs>
        <w:ind w:left="1786" w:hanging="357"/>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1C755E36"/>
    <w:multiLevelType w:val="hybridMultilevel"/>
    <w:tmpl w:val="DEB090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CEA7CB2"/>
    <w:multiLevelType w:val="hybridMultilevel"/>
    <w:tmpl w:val="281408D6"/>
    <w:lvl w:ilvl="0" w:tplc="5268CD28">
      <w:start w:val="1"/>
      <w:numFmt w:val="bullet"/>
      <w:lvlText w:val="•"/>
      <w:lvlJc w:val="left"/>
      <w:pPr>
        <w:tabs>
          <w:tab w:val="num" w:pos="360"/>
        </w:tabs>
        <w:ind w:left="360" w:hanging="360"/>
      </w:pPr>
      <w:rPr>
        <w:rFonts w:ascii="Arial" w:hAnsi="Arial" w:hint="default"/>
      </w:rPr>
    </w:lvl>
    <w:lvl w:ilvl="1" w:tplc="09020C24" w:tentative="1">
      <w:start w:val="1"/>
      <w:numFmt w:val="bullet"/>
      <w:lvlText w:val="•"/>
      <w:lvlJc w:val="left"/>
      <w:pPr>
        <w:tabs>
          <w:tab w:val="num" w:pos="1080"/>
        </w:tabs>
        <w:ind w:left="1080" w:hanging="360"/>
      </w:pPr>
      <w:rPr>
        <w:rFonts w:ascii="Arial" w:hAnsi="Arial" w:hint="default"/>
      </w:rPr>
    </w:lvl>
    <w:lvl w:ilvl="2" w:tplc="0748BCEE" w:tentative="1">
      <w:start w:val="1"/>
      <w:numFmt w:val="bullet"/>
      <w:lvlText w:val="•"/>
      <w:lvlJc w:val="left"/>
      <w:pPr>
        <w:tabs>
          <w:tab w:val="num" w:pos="1800"/>
        </w:tabs>
        <w:ind w:left="1800" w:hanging="360"/>
      </w:pPr>
      <w:rPr>
        <w:rFonts w:ascii="Arial" w:hAnsi="Arial" w:hint="default"/>
      </w:rPr>
    </w:lvl>
    <w:lvl w:ilvl="3" w:tplc="93AC969C" w:tentative="1">
      <w:start w:val="1"/>
      <w:numFmt w:val="bullet"/>
      <w:lvlText w:val="•"/>
      <w:lvlJc w:val="left"/>
      <w:pPr>
        <w:tabs>
          <w:tab w:val="num" w:pos="2520"/>
        </w:tabs>
        <w:ind w:left="2520" w:hanging="360"/>
      </w:pPr>
      <w:rPr>
        <w:rFonts w:ascii="Arial" w:hAnsi="Arial" w:hint="default"/>
      </w:rPr>
    </w:lvl>
    <w:lvl w:ilvl="4" w:tplc="46EE9BF8" w:tentative="1">
      <w:start w:val="1"/>
      <w:numFmt w:val="bullet"/>
      <w:lvlText w:val="•"/>
      <w:lvlJc w:val="left"/>
      <w:pPr>
        <w:tabs>
          <w:tab w:val="num" w:pos="3240"/>
        </w:tabs>
        <w:ind w:left="3240" w:hanging="360"/>
      </w:pPr>
      <w:rPr>
        <w:rFonts w:ascii="Arial" w:hAnsi="Arial" w:hint="default"/>
      </w:rPr>
    </w:lvl>
    <w:lvl w:ilvl="5" w:tplc="2A72AE66" w:tentative="1">
      <w:start w:val="1"/>
      <w:numFmt w:val="bullet"/>
      <w:lvlText w:val="•"/>
      <w:lvlJc w:val="left"/>
      <w:pPr>
        <w:tabs>
          <w:tab w:val="num" w:pos="3960"/>
        </w:tabs>
        <w:ind w:left="3960" w:hanging="360"/>
      </w:pPr>
      <w:rPr>
        <w:rFonts w:ascii="Arial" w:hAnsi="Arial" w:hint="default"/>
      </w:rPr>
    </w:lvl>
    <w:lvl w:ilvl="6" w:tplc="FDB83970" w:tentative="1">
      <w:start w:val="1"/>
      <w:numFmt w:val="bullet"/>
      <w:lvlText w:val="•"/>
      <w:lvlJc w:val="left"/>
      <w:pPr>
        <w:tabs>
          <w:tab w:val="num" w:pos="4680"/>
        </w:tabs>
        <w:ind w:left="4680" w:hanging="360"/>
      </w:pPr>
      <w:rPr>
        <w:rFonts w:ascii="Arial" w:hAnsi="Arial" w:hint="default"/>
      </w:rPr>
    </w:lvl>
    <w:lvl w:ilvl="7" w:tplc="E54A090E" w:tentative="1">
      <w:start w:val="1"/>
      <w:numFmt w:val="bullet"/>
      <w:lvlText w:val="•"/>
      <w:lvlJc w:val="left"/>
      <w:pPr>
        <w:tabs>
          <w:tab w:val="num" w:pos="5400"/>
        </w:tabs>
        <w:ind w:left="5400" w:hanging="360"/>
      </w:pPr>
      <w:rPr>
        <w:rFonts w:ascii="Arial" w:hAnsi="Arial" w:hint="default"/>
      </w:rPr>
    </w:lvl>
    <w:lvl w:ilvl="8" w:tplc="AD5AD6E8" w:tentative="1">
      <w:start w:val="1"/>
      <w:numFmt w:val="bullet"/>
      <w:lvlText w:val="•"/>
      <w:lvlJc w:val="left"/>
      <w:pPr>
        <w:tabs>
          <w:tab w:val="num" w:pos="6120"/>
        </w:tabs>
        <w:ind w:left="6120" w:hanging="360"/>
      </w:pPr>
      <w:rPr>
        <w:rFonts w:ascii="Arial" w:hAnsi="Arial" w:hint="default"/>
      </w:rPr>
    </w:lvl>
  </w:abstractNum>
  <w:abstractNum w:abstractNumId="19" w15:restartNumberingAfterBreak="0">
    <w:nsid w:val="1E3C2C8B"/>
    <w:multiLevelType w:val="hybridMultilevel"/>
    <w:tmpl w:val="2FA66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1E97494D"/>
    <w:multiLevelType w:val="multilevel"/>
    <w:tmpl w:val="65E4417A"/>
    <w:name w:val="eod_numbers"/>
    <w:styleLink w:val="NHSListNumbers"/>
    <w:lvl w:ilvl="0">
      <w:start w:val="1"/>
      <w:numFmt w:val="decimal"/>
      <w:pStyle w:val="ListNumber"/>
      <w:lvlText w:val="%1)"/>
      <w:lvlJc w:val="left"/>
      <w:pPr>
        <w:tabs>
          <w:tab w:val="num" w:pos="1021"/>
        </w:tabs>
        <w:ind w:left="1021" w:hanging="454"/>
      </w:pPr>
      <w:rPr>
        <w:rFonts w:hint="default"/>
      </w:rPr>
    </w:lvl>
    <w:lvl w:ilvl="1">
      <w:start w:val="1"/>
      <w:numFmt w:val="lowerLetter"/>
      <w:pStyle w:val="ListNumber2"/>
      <w:lvlText w:val="%2)"/>
      <w:lvlJc w:val="left"/>
      <w:pPr>
        <w:tabs>
          <w:tab w:val="num" w:pos="1474"/>
        </w:tabs>
        <w:ind w:left="1474" w:hanging="453"/>
      </w:pPr>
      <w:rPr>
        <w:rFonts w:hint="default"/>
      </w:rPr>
    </w:lvl>
    <w:lvl w:ilvl="2">
      <w:start w:val="1"/>
      <w:numFmt w:val="lowerRoman"/>
      <w:pStyle w:val="ListNumber3"/>
      <w:lvlText w:val="%3)"/>
      <w:lvlJc w:val="left"/>
      <w:pPr>
        <w:tabs>
          <w:tab w:val="num" w:pos="1928"/>
        </w:tabs>
        <w:ind w:left="1928" w:hanging="454"/>
      </w:pPr>
      <w:rPr>
        <w:rFonts w:hint="default"/>
      </w:rPr>
    </w:lvl>
    <w:lvl w:ilvl="3">
      <w:start w:val="1"/>
      <w:numFmt w:val="decimal"/>
      <w:pStyle w:val="ListNumber4"/>
      <w:lvlText w:val="(%4)"/>
      <w:lvlJc w:val="left"/>
      <w:pPr>
        <w:tabs>
          <w:tab w:val="num" w:pos="1429"/>
        </w:tabs>
        <w:ind w:left="1429" w:hanging="357"/>
      </w:pPr>
      <w:rPr>
        <w:rFonts w:hint="default"/>
      </w:rPr>
    </w:lvl>
    <w:lvl w:ilvl="4">
      <w:start w:val="1"/>
      <w:numFmt w:val="lowerLetter"/>
      <w:pStyle w:val="ListNumber5"/>
      <w:lvlText w:val="(%5)"/>
      <w:lvlJc w:val="left"/>
      <w:pPr>
        <w:tabs>
          <w:tab w:val="num" w:pos="1786"/>
        </w:tabs>
        <w:ind w:left="1786"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EF37E34"/>
    <w:multiLevelType w:val="multilevel"/>
    <w:tmpl w:val="7D4A18DC"/>
    <w:name w:val="nhs_table_bullets"/>
    <w:styleLink w:val="NHSTableBullets"/>
    <w:lvl w:ilvl="0">
      <w:start w:val="1"/>
      <w:numFmt w:val="bullet"/>
      <w:pStyle w:val="TableBullet"/>
      <w:lvlText w:val=""/>
      <w:lvlJc w:val="left"/>
      <w:pPr>
        <w:tabs>
          <w:tab w:val="num" w:pos="284"/>
        </w:tabs>
        <w:ind w:left="284" w:hanging="284"/>
      </w:pPr>
      <w:rPr>
        <w:rFonts w:ascii="Symbol" w:hAnsi="Symbol" w:hint="default"/>
        <w:color w:val="005EB8"/>
      </w:rPr>
    </w:lvl>
    <w:lvl w:ilvl="1">
      <w:start w:val="1"/>
      <w:numFmt w:val="bullet"/>
      <w:pStyle w:val="TableBullet2"/>
      <w:lvlText w:val="‒"/>
      <w:lvlJc w:val="left"/>
      <w:pPr>
        <w:tabs>
          <w:tab w:val="num" w:pos="567"/>
        </w:tabs>
        <w:ind w:left="567" w:hanging="283"/>
      </w:pPr>
      <w:rPr>
        <w:rFonts w:ascii="Arial" w:hAnsi="Arial" w:hint="default"/>
        <w:color w:val="005EB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FA5472B"/>
    <w:multiLevelType w:val="hybridMultilevel"/>
    <w:tmpl w:val="E24623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1E75497"/>
    <w:multiLevelType w:val="hybridMultilevel"/>
    <w:tmpl w:val="E9D05E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E646F5"/>
    <w:multiLevelType w:val="hybridMultilevel"/>
    <w:tmpl w:val="A5C605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3853A59"/>
    <w:multiLevelType w:val="hybridMultilevel"/>
    <w:tmpl w:val="720807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28E78E9"/>
    <w:multiLevelType w:val="hybridMultilevel"/>
    <w:tmpl w:val="A1D055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405481F"/>
    <w:multiLevelType w:val="hybridMultilevel"/>
    <w:tmpl w:val="4516E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6AF6C3F"/>
    <w:multiLevelType w:val="hybridMultilevel"/>
    <w:tmpl w:val="0734D4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A0E4B38"/>
    <w:multiLevelType w:val="multilevel"/>
    <w:tmpl w:val="65E4417A"/>
    <w:numStyleLink w:val="NHSListNumbers"/>
  </w:abstractNum>
  <w:abstractNum w:abstractNumId="30" w15:restartNumberingAfterBreak="0">
    <w:nsid w:val="59FC73AE"/>
    <w:multiLevelType w:val="hybridMultilevel"/>
    <w:tmpl w:val="51E2DDFC"/>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3D7FD8"/>
    <w:multiLevelType w:val="hybridMultilevel"/>
    <w:tmpl w:val="1ACEC9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C35368F"/>
    <w:multiLevelType w:val="hybridMultilevel"/>
    <w:tmpl w:val="B16E50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990" w:hanging="360"/>
      </w:pPr>
      <w:rPr>
        <w:rFonts w:ascii="Courier New" w:hAnsi="Courier New" w:cs="Courier New" w:hint="default"/>
      </w:rPr>
    </w:lvl>
    <w:lvl w:ilvl="2" w:tplc="08090005" w:tentative="1">
      <w:start w:val="1"/>
      <w:numFmt w:val="bullet"/>
      <w:lvlText w:val=""/>
      <w:lvlJc w:val="left"/>
      <w:pPr>
        <w:ind w:left="1710" w:hanging="360"/>
      </w:pPr>
      <w:rPr>
        <w:rFonts w:ascii="Wingdings" w:hAnsi="Wingdings" w:hint="default"/>
      </w:rPr>
    </w:lvl>
    <w:lvl w:ilvl="3" w:tplc="08090001" w:tentative="1">
      <w:start w:val="1"/>
      <w:numFmt w:val="bullet"/>
      <w:lvlText w:val=""/>
      <w:lvlJc w:val="left"/>
      <w:pPr>
        <w:ind w:left="2430" w:hanging="360"/>
      </w:pPr>
      <w:rPr>
        <w:rFonts w:ascii="Symbol" w:hAnsi="Symbol" w:hint="default"/>
      </w:rPr>
    </w:lvl>
    <w:lvl w:ilvl="4" w:tplc="08090003" w:tentative="1">
      <w:start w:val="1"/>
      <w:numFmt w:val="bullet"/>
      <w:lvlText w:val="o"/>
      <w:lvlJc w:val="left"/>
      <w:pPr>
        <w:ind w:left="3150" w:hanging="360"/>
      </w:pPr>
      <w:rPr>
        <w:rFonts w:ascii="Courier New" w:hAnsi="Courier New" w:cs="Courier New" w:hint="default"/>
      </w:rPr>
    </w:lvl>
    <w:lvl w:ilvl="5" w:tplc="08090005" w:tentative="1">
      <w:start w:val="1"/>
      <w:numFmt w:val="bullet"/>
      <w:lvlText w:val=""/>
      <w:lvlJc w:val="left"/>
      <w:pPr>
        <w:ind w:left="3870" w:hanging="360"/>
      </w:pPr>
      <w:rPr>
        <w:rFonts w:ascii="Wingdings" w:hAnsi="Wingdings" w:hint="default"/>
      </w:rPr>
    </w:lvl>
    <w:lvl w:ilvl="6" w:tplc="08090001" w:tentative="1">
      <w:start w:val="1"/>
      <w:numFmt w:val="bullet"/>
      <w:lvlText w:val=""/>
      <w:lvlJc w:val="left"/>
      <w:pPr>
        <w:ind w:left="4590" w:hanging="360"/>
      </w:pPr>
      <w:rPr>
        <w:rFonts w:ascii="Symbol" w:hAnsi="Symbol" w:hint="default"/>
      </w:rPr>
    </w:lvl>
    <w:lvl w:ilvl="7" w:tplc="08090003" w:tentative="1">
      <w:start w:val="1"/>
      <w:numFmt w:val="bullet"/>
      <w:lvlText w:val="o"/>
      <w:lvlJc w:val="left"/>
      <w:pPr>
        <w:ind w:left="5310" w:hanging="360"/>
      </w:pPr>
      <w:rPr>
        <w:rFonts w:ascii="Courier New" w:hAnsi="Courier New" w:cs="Courier New" w:hint="default"/>
      </w:rPr>
    </w:lvl>
    <w:lvl w:ilvl="8" w:tplc="08090005" w:tentative="1">
      <w:start w:val="1"/>
      <w:numFmt w:val="bullet"/>
      <w:lvlText w:val=""/>
      <w:lvlJc w:val="left"/>
      <w:pPr>
        <w:ind w:left="6030" w:hanging="360"/>
      </w:pPr>
      <w:rPr>
        <w:rFonts w:ascii="Wingdings" w:hAnsi="Wingdings" w:hint="default"/>
      </w:rPr>
    </w:lvl>
  </w:abstractNum>
  <w:abstractNum w:abstractNumId="33" w15:restartNumberingAfterBreak="0">
    <w:nsid w:val="60642691"/>
    <w:multiLevelType w:val="hybridMultilevel"/>
    <w:tmpl w:val="7CA09C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85F615F"/>
    <w:multiLevelType w:val="hybridMultilevel"/>
    <w:tmpl w:val="6E7AD136"/>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35" w15:restartNumberingAfterBreak="0">
    <w:nsid w:val="6A6E3C57"/>
    <w:multiLevelType w:val="hybridMultilevel"/>
    <w:tmpl w:val="301643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25B5556"/>
    <w:multiLevelType w:val="hybridMultilevel"/>
    <w:tmpl w:val="23B407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3184010"/>
    <w:multiLevelType w:val="hybridMultilevel"/>
    <w:tmpl w:val="E7C8AA78"/>
    <w:lvl w:ilvl="0" w:tplc="B2E0F26A">
      <w:start w:val="1"/>
      <w:numFmt w:val="bullet"/>
      <w:lvlText w:val=""/>
      <w:lvlJc w:val="left"/>
      <w:pPr>
        <w:ind w:left="360" w:hanging="360"/>
      </w:pPr>
      <w:rPr>
        <w:rFonts w:ascii="Symbol" w:hAnsi="Symbol" w:hint="default"/>
        <w:color w:val="4472C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A25115"/>
    <w:multiLevelType w:val="hybridMultilevel"/>
    <w:tmpl w:val="94E6BF5C"/>
    <w:lvl w:ilvl="0" w:tplc="B2E0F26A">
      <w:start w:val="1"/>
      <w:numFmt w:val="bullet"/>
      <w:lvlText w:val=""/>
      <w:lvlJc w:val="left"/>
      <w:pPr>
        <w:ind w:left="360" w:hanging="360"/>
      </w:pPr>
      <w:rPr>
        <w:rFonts w:ascii="Symbol" w:hAnsi="Symbol" w:hint="default"/>
        <w:color w:val="4472C4" w:themeColor="accent1"/>
      </w:rPr>
    </w:lvl>
    <w:lvl w:ilvl="1" w:tplc="FFFFFFFF" w:tentative="1">
      <w:start w:val="1"/>
      <w:numFmt w:val="bullet"/>
      <w:lvlText w:val="o"/>
      <w:lvlJc w:val="left"/>
      <w:pPr>
        <w:ind w:left="990" w:hanging="360"/>
      </w:pPr>
      <w:rPr>
        <w:rFonts w:ascii="Courier New" w:hAnsi="Courier New" w:cs="Courier New" w:hint="default"/>
      </w:rPr>
    </w:lvl>
    <w:lvl w:ilvl="2" w:tplc="FFFFFFFF" w:tentative="1">
      <w:start w:val="1"/>
      <w:numFmt w:val="bullet"/>
      <w:lvlText w:val=""/>
      <w:lvlJc w:val="left"/>
      <w:pPr>
        <w:ind w:left="1710" w:hanging="360"/>
      </w:pPr>
      <w:rPr>
        <w:rFonts w:ascii="Wingdings" w:hAnsi="Wingdings" w:hint="default"/>
      </w:rPr>
    </w:lvl>
    <w:lvl w:ilvl="3" w:tplc="FFFFFFFF" w:tentative="1">
      <w:start w:val="1"/>
      <w:numFmt w:val="bullet"/>
      <w:lvlText w:val=""/>
      <w:lvlJc w:val="left"/>
      <w:pPr>
        <w:ind w:left="2430" w:hanging="360"/>
      </w:pPr>
      <w:rPr>
        <w:rFonts w:ascii="Symbol" w:hAnsi="Symbol" w:hint="default"/>
      </w:rPr>
    </w:lvl>
    <w:lvl w:ilvl="4" w:tplc="FFFFFFFF" w:tentative="1">
      <w:start w:val="1"/>
      <w:numFmt w:val="bullet"/>
      <w:lvlText w:val="o"/>
      <w:lvlJc w:val="left"/>
      <w:pPr>
        <w:ind w:left="3150" w:hanging="360"/>
      </w:pPr>
      <w:rPr>
        <w:rFonts w:ascii="Courier New" w:hAnsi="Courier New" w:cs="Courier New" w:hint="default"/>
      </w:rPr>
    </w:lvl>
    <w:lvl w:ilvl="5" w:tplc="FFFFFFFF" w:tentative="1">
      <w:start w:val="1"/>
      <w:numFmt w:val="bullet"/>
      <w:lvlText w:val=""/>
      <w:lvlJc w:val="left"/>
      <w:pPr>
        <w:ind w:left="3870" w:hanging="360"/>
      </w:pPr>
      <w:rPr>
        <w:rFonts w:ascii="Wingdings" w:hAnsi="Wingdings" w:hint="default"/>
      </w:rPr>
    </w:lvl>
    <w:lvl w:ilvl="6" w:tplc="FFFFFFFF" w:tentative="1">
      <w:start w:val="1"/>
      <w:numFmt w:val="bullet"/>
      <w:lvlText w:val=""/>
      <w:lvlJc w:val="left"/>
      <w:pPr>
        <w:ind w:left="4590" w:hanging="360"/>
      </w:pPr>
      <w:rPr>
        <w:rFonts w:ascii="Symbol" w:hAnsi="Symbol" w:hint="default"/>
      </w:rPr>
    </w:lvl>
    <w:lvl w:ilvl="7" w:tplc="FFFFFFFF" w:tentative="1">
      <w:start w:val="1"/>
      <w:numFmt w:val="bullet"/>
      <w:lvlText w:val="o"/>
      <w:lvlJc w:val="left"/>
      <w:pPr>
        <w:ind w:left="5310" w:hanging="360"/>
      </w:pPr>
      <w:rPr>
        <w:rFonts w:ascii="Courier New" w:hAnsi="Courier New" w:cs="Courier New" w:hint="default"/>
      </w:rPr>
    </w:lvl>
    <w:lvl w:ilvl="8" w:tplc="FFFFFFFF" w:tentative="1">
      <w:start w:val="1"/>
      <w:numFmt w:val="bullet"/>
      <w:lvlText w:val=""/>
      <w:lvlJc w:val="left"/>
      <w:pPr>
        <w:ind w:left="6030" w:hanging="360"/>
      </w:pPr>
      <w:rPr>
        <w:rFonts w:ascii="Wingdings" w:hAnsi="Wingdings" w:hint="default"/>
      </w:rPr>
    </w:lvl>
  </w:abstractNum>
  <w:abstractNum w:abstractNumId="39" w15:restartNumberingAfterBreak="0">
    <w:nsid w:val="7C077A54"/>
    <w:multiLevelType w:val="hybridMultilevel"/>
    <w:tmpl w:val="6AFCAE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E000FF6"/>
    <w:multiLevelType w:val="hybridMultilevel"/>
    <w:tmpl w:val="4AF64A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15694840">
    <w:abstractNumId w:val="8"/>
  </w:num>
  <w:num w:numId="2" w16cid:durableId="1009675698">
    <w:abstractNumId w:val="7"/>
  </w:num>
  <w:num w:numId="3" w16cid:durableId="698706804">
    <w:abstractNumId w:val="6"/>
  </w:num>
  <w:num w:numId="4" w16cid:durableId="1733700707">
    <w:abstractNumId w:val="5"/>
  </w:num>
  <w:num w:numId="5" w16cid:durableId="1427653887">
    <w:abstractNumId w:val="4"/>
  </w:num>
  <w:num w:numId="6" w16cid:durableId="1021008256">
    <w:abstractNumId w:val="29"/>
  </w:num>
  <w:num w:numId="7" w16cid:durableId="488904025">
    <w:abstractNumId w:val="3"/>
  </w:num>
  <w:num w:numId="8" w16cid:durableId="1532568846">
    <w:abstractNumId w:val="2"/>
  </w:num>
  <w:num w:numId="9" w16cid:durableId="1992713488">
    <w:abstractNumId w:val="1"/>
  </w:num>
  <w:num w:numId="10" w16cid:durableId="498885058">
    <w:abstractNumId w:val="0"/>
  </w:num>
  <w:num w:numId="11" w16cid:durableId="1648390495">
    <w:abstractNumId w:val="16"/>
  </w:num>
  <w:num w:numId="12" w16cid:durableId="7517560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43568855">
    <w:abstractNumId w:val="20"/>
  </w:num>
  <w:num w:numId="14" w16cid:durableId="177019738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347059">
    <w:abstractNumId w:val="21"/>
  </w:num>
  <w:num w:numId="16" w16cid:durableId="1718702138">
    <w:abstractNumId w:val="15"/>
  </w:num>
  <w:num w:numId="17" w16cid:durableId="1420642854">
    <w:abstractNumId w:val="9"/>
  </w:num>
  <w:num w:numId="18" w16cid:durableId="10375800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58997346">
    <w:abstractNumId w:val="31"/>
  </w:num>
  <w:num w:numId="20" w16cid:durableId="2030912229">
    <w:abstractNumId w:val="11"/>
  </w:num>
  <w:num w:numId="21" w16cid:durableId="1325429635">
    <w:abstractNumId w:val="26"/>
  </w:num>
  <w:num w:numId="22" w16cid:durableId="2061203885">
    <w:abstractNumId w:val="23"/>
  </w:num>
  <w:num w:numId="23" w16cid:durableId="2130968685">
    <w:abstractNumId w:val="36"/>
  </w:num>
  <w:num w:numId="24" w16cid:durableId="1530138829">
    <w:abstractNumId w:val="25"/>
  </w:num>
  <w:num w:numId="25" w16cid:durableId="129985193">
    <w:abstractNumId w:val="22"/>
  </w:num>
  <w:num w:numId="26" w16cid:durableId="178394650">
    <w:abstractNumId w:val="12"/>
  </w:num>
  <w:num w:numId="27" w16cid:durableId="2066488537">
    <w:abstractNumId w:val="33"/>
  </w:num>
  <w:num w:numId="28" w16cid:durableId="2071727613">
    <w:abstractNumId w:val="27"/>
  </w:num>
  <w:num w:numId="29" w16cid:durableId="2026202172">
    <w:abstractNumId w:val="17"/>
  </w:num>
  <w:num w:numId="30" w16cid:durableId="1907498071">
    <w:abstractNumId w:val="40"/>
  </w:num>
  <w:num w:numId="31" w16cid:durableId="37822058">
    <w:abstractNumId w:val="18"/>
  </w:num>
  <w:num w:numId="32" w16cid:durableId="1424178506">
    <w:abstractNumId w:val="10"/>
  </w:num>
  <w:num w:numId="33" w16cid:durableId="675307254">
    <w:abstractNumId w:val="28"/>
  </w:num>
  <w:num w:numId="34" w16cid:durableId="386226891">
    <w:abstractNumId w:val="35"/>
  </w:num>
  <w:num w:numId="35" w16cid:durableId="446042055">
    <w:abstractNumId w:val="39"/>
  </w:num>
  <w:num w:numId="36" w16cid:durableId="202058841">
    <w:abstractNumId w:val="19"/>
  </w:num>
  <w:num w:numId="37" w16cid:durableId="194660648">
    <w:abstractNumId w:val="24"/>
  </w:num>
  <w:num w:numId="38" w16cid:durableId="718893039">
    <w:abstractNumId w:val="34"/>
  </w:num>
  <w:num w:numId="39" w16cid:durableId="490295480">
    <w:abstractNumId w:val="30"/>
  </w:num>
  <w:num w:numId="40" w16cid:durableId="1197622872">
    <w:abstractNumId w:val="32"/>
  </w:num>
  <w:num w:numId="41" w16cid:durableId="1386300189">
    <w:abstractNumId w:val="38"/>
  </w:num>
  <w:num w:numId="42" w16cid:durableId="193466955">
    <w:abstractNumId w:val="14"/>
  </w:num>
  <w:num w:numId="43" w16cid:durableId="1907453972">
    <w:abstractNumId w:val="37"/>
  </w:num>
  <w:num w:numId="44" w16cid:durableId="2474640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2DD"/>
    <w:rsid w:val="00007156"/>
    <w:rsid w:val="00015A62"/>
    <w:rsid w:val="00062865"/>
    <w:rsid w:val="0007632E"/>
    <w:rsid w:val="00084A99"/>
    <w:rsid w:val="00085A45"/>
    <w:rsid w:val="000A2370"/>
    <w:rsid w:val="000A4D8C"/>
    <w:rsid w:val="000A6D24"/>
    <w:rsid w:val="000C174E"/>
    <w:rsid w:val="000C574B"/>
    <w:rsid w:val="00110D9A"/>
    <w:rsid w:val="00162039"/>
    <w:rsid w:val="00176F7C"/>
    <w:rsid w:val="00185BD2"/>
    <w:rsid w:val="00185DC8"/>
    <w:rsid w:val="00190DA7"/>
    <w:rsid w:val="001A2693"/>
    <w:rsid w:val="001A3CEA"/>
    <w:rsid w:val="001E1461"/>
    <w:rsid w:val="001F3A68"/>
    <w:rsid w:val="00200AF9"/>
    <w:rsid w:val="00271585"/>
    <w:rsid w:val="00275EA3"/>
    <w:rsid w:val="002812E4"/>
    <w:rsid w:val="00283DE6"/>
    <w:rsid w:val="002B0535"/>
    <w:rsid w:val="002E1A9E"/>
    <w:rsid w:val="0033024D"/>
    <w:rsid w:val="00342CA2"/>
    <w:rsid w:val="00371642"/>
    <w:rsid w:val="00385E5E"/>
    <w:rsid w:val="003A5509"/>
    <w:rsid w:val="003B34E6"/>
    <w:rsid w:val="003D0C12"/>
    <w:rsid w:val="003D6B19"/>
    <w:rsid w:val="003F70B7"/>
    <w:rsid w:val="004025B7"/>
    <w:rsid w:val="0041552B"/>
    <w:rsid w:val="00432306"/>
    <w:rsid w:val="00451480"/>
    <w:rsid w:val="00470653"/>
    <w:rsid w:val="00487668"/>
    <w:rsid w:val="004A1882"/>
    <w:rsid w:val="004C1422"/>
    <w:rsid w:val="004C2900"/>
    <w:rsid w:val="004D0D1D"/>
    <w:rsid w:val="004E12DD"/>
    <w:rsid w:val="004F7D3B"/>
    <w:rsid w:val="0055193D"/>
    <w:rsid w:val="00560E8B"/>
    <w:rsid w:val="00566C26"/>
    <w:rsid w:val="00584D80"/>
    <w:rsid w:val="0058663C"/>
    <w:rsid w:val="00586E2A"/>
    <w:rsid w:val="00594514"/>
    <w:rsid w:val="005C4D1D"/>
    <w:rsid w:val="005D39D0"/>
    <w:rsid w:val="00602E8B"/>
    <w:rsid w:val="00613390"/>
    <w:rsid w:val="00627EDB"/>
    <w:rsid w:val="00630E45"/>
    <w:rsid w:val="00653CAD"/>
    <w:rsid w:val="006574D6"/>
    <w:rsid w:val="006912BC"/>
    <w:rsid w:val="006934AF"/>
    <w:rsid w:val="00693A62"/>
    <w:rsid w:val="006A73A7"/>
    <w:rsid w:val="006B214D"/>
    <w:rsid w:val="006B413D"/>
    <w:rsid w:val="006D038C"/>
    <w:rsid w:val="006D0E2D"/>
    <w:rsid w:val="006E0FE6"/>
    <w:rsid w:val="007067A7"/>
    <w:rsid w:val="00717B61"/>
    <w:rsid w:val="00730BA7"/>
    <w:rsid w:val="007555F4"/>
    <w:rsid w:val="00761F36"/>
    <w:rsid w:val="007A0D2E"/>
    <w:rsid w:val="007C514C"/>
    <w:rsid w:val="007C71A9"/>
    <w:rsid w:val="007D086A"/>
    <w:rsid w:val="007E342D"/>
    <w:rsid w:val="007E485F"/>
    <w:rsid w:val="007E4D34"/>
    <w:rsid w:val="0081551D"/>
    <w:rsid w:val="00865629"/>
    <w:rsid w:val="00874A41"/>
    <w:rsid w:val="00890EDC"/>
    <w:rsid w:val="008915D7"/>
    <w:rsid w:val="008A3186"/>
    <w:rsid w:val="008A5669"/>
    <w:rsid w:val="008B6883"/>
    <w:rsid w:val="008F32A3"/>
    <w:rsid w:val="00921E8A"/>
    <w:rsid w:val="00927789"/>
    <w:rsid w:val="00935623"/>
    <w:rsid w:val="009429FB"/>
    <w:rsid w:val="00943EA5"/>
    <w:rsid w:val="00957539"/>
    <w:rsid w:val="00957EED"/>
    <w:rsid w:val="00966714"/>
    <w:rsid w:val="00973329"/>
    <w:rsid w:val="00973E26"/>
    <w:rsid w:val="00991C52"/>
    <w:rsid w:val="009A4E87"/>
    <w:rsid w:val="009B6D5C"/>
    <w:rsid w:val="009E3E3F"/>
    <w:rsid w:val="00A0274F"/>
    <w:rsid w:val="00A127A4"/>
    <w:rsid w:val="00A2079C"/>
    <w:rsid w:val="00A33630"/>
    <w:rsid w:val="00A46B53"/>
    <w:rsid w:val="00A57980"/>
    <w:rsid w:val="00A66B11"/>
    <w:rsid w:val="00A729E3"/>
    <w:rsid w:val="00A742C0"/>
    <w:rsid w:val="00A757D0"/>
    <w:rsid w:val="00AA01F4"/>
    <w:rsid w:val="00AA374F"/>
    <w:rsid w:val="00AB3FAB"/>
    <w:rsid w:val="00B00F37"/>
    <w:rsid w:val="00B40229"/>
    <w:rsid w:val="00B40E08"/>
    <w:rsid w:val="00B434C5"/>
    <w:rsid w:val="00B70491"/>
    <w:rsid w:val="00B75521"/>
    <w:rsid w:val="00B8759F"/>
    <w:rsid w:val="00BA1191"/>
    <w:rsid w:val="00BB3693"/>
    <w:rsid w:val="00BD4F73"/>
    <w:rsid w:val="00BE0A4E"/>
    <w:rsid w:val="00BE315B"/>
    <w:rsid w:val="00BF67D3"/>
    <w:rsid w:val="00C00FF7"/>
    <w:rsid w:val="00C33081"/>
    <w:rsid w:val="00C36740"/>
    <w:rsid w:val="00C65E48"/>
    <w:rsid w:val="00C84619"/>
    <w:rsid w:val="00C91DA0"/>
    <w:rsid w:val="00C97912"/>
    <w:rsid w:val="00C97A0A"/>
    <w:rsid w:val="00CA2872"/>
    <w:rsid w:val="00CB24A9"/>
    <w:rsid w:val="00CC5465"/>
    <w:rsid w:val="00CD288A"/>
    <w:rsid w:val="00D326B1"/>
    <w:rsid w:val="00D5680E"/>
    <w:rsid w:val="00D64FE1"/>
    <w:rsid w:val="00D765B9"/>
    <w:rsid w:val="00D806DF"/>
    <w:rsid w:val="00D85FB0"/>
    <w:rsid w:val="00D91F10"/>
    <w:rsid w:val="00D92AA1"/>
    <w:rsid w:val="00D940F1"/>
    <w:rsid w:val="00DB6B42"/>
    <w:rsid w:val="00DD25FC"/>
    <w:rsid w:val="00DE3B75"/>
    <w:rsid w:val="00E46B06"/>
    <w:rsid w:val="00E62F49"/>
    <w:rsid w:val="00E81D5E"/>
    <w:rsid w:val="00EA66B4"/>
    <w:rsid w:val="00EB246B"/>
    <w:rsid w:val="00EB2EF8"/>
    <w:rsid w:val="00ED1CAD"/>
    <w:rsid w:val="00F15D64"/>
    <w:rsid w:val="00F17433"/>
    <w:rsid w:val="00F21A3B"/>
    <w:rsid w:val="00F23C43"/>
    <w:rsid w:val="00F37B1C"/>
    <w:rsid w:val="00F405FE"/>
    <w:rsid w:val="00F41EF4"/>
    <w:rsid w:val="00F421E1"/>
    <w:rsid w:val="00F62734"/>
    <w:rsid w:val="00F8312F"/>
    <w:rsid w:val="00F9409E"/>
    <w:rsid w:val="00FA4283"/>
    <w:rsid w:val="00FC32C9"/>
    <w:rsid w:val="00FC72E1"/>
    <w:rsid w:val="00FD0D3A"/>
    <w:rsid w:val="00FD44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D26A3"/>
  <w15:chartTrackingRefBased/>
  <w15:docId w15:val="{6E395286-34CD-4BE9-88A8-185B094EC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4" w:unhideWhenUsed="1" w:qFormat="1"/>
    <w:lsdException w:name="List Number" w:semiHidden="1" w:uiPriority="1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4" w:unhideWhenUsed="1" w:qFormat="1"/>
    <w:lsdException w:name="List Bullet 3" w:semiHidden="1" w:unhideWhenUsed="1" w:qFormat="1"/>
    <w:lsdException w:name="List Bullet 4" w:semiHidden="1" w:unhideWhenUsed="1"/>
    <w:lsdException w:name="List Bullet 5" w:semiHidden="1" w:unhideWhenUsed="1"/>
    <w:lsdException w:name="List Number 2" w:semiHidden="1" w:uiPriority="16" w:unhideWhenUsed="1" w:qFormat="1"/>
    <w:lsdException w:name="List Number 3" w:semiHidden="1" w:uiPriority="16" w:unhideWhenUsed="1" w:qFormat="1"/>
    <w:lsdException w:name="List Number 4" w:semiHidden="1" w:unhideWhenUsed="1"/>
    <w:lsdException w:name="List Number 5" w:semiHidden="1" w:unhideWhenUsed="1"/>
    <w:lsdException w:name="Title" w:uiPriority="1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16" w:unhideWhenUsed="1" w:qFormat="1"/>
    <w:lsdException w:name="List Continue 2" w:semiHidden="1" w:uiPriority="16" w:unhideWhenUsed="1" w:qFormat="1"/>
    <w:lsdException w:name="List Continue 3" w:semiHidden="1" w:uiPriority="16" w:unhideWhenUsed="1" w:qFormat="1"/>
    <w:lsdException w:name="List Continue 4" w:semiHidden="1" w:uiPriority="16" w:unhideWhenUsed="1"/>
    <w:lsdException w:name="List Continue 5" w:semiHidden="1" w:uiPriority="16" w:unhideWhenUsed="1"/>
    <w:lsdException w:name="Message Header" w:semiHidden="1" w:unhideWhenUsed="1"/>
    <w:lsdException w:name="Subtitle" w:uiPriority="19" w:qFormat="1"/>
    <w:lsdException w:name="Salutation" w:semiHidden="1" w:unhideWhenUsed="1"/>
    <w:lsdException w:name="Date" w:semiHidden="1" w:uiPriority="19"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3F70B7"/>
    <w:pPr>
      <w:spacing w:after="0" w:line="240" w:lineRule="auto"/>
    </w:pPr>
    <w:rPr>
      <w:rFonts w:ascii="Arial" w:hAnsi="Arial"/>
      <w:color w:val="231F20"/>
      <w:kern w:val="0"/>
      <w:sz w:val="24"/>
      <w:szCs w:val="24"/>
      <w14:ligatures w14:val="none"/>
    </w:rPr>
  </w:style>
  <w:style w:type="paragraph" w:styleId="Heading1">
    <w:name w:val="heading 1"/>
    <w:basedOn w:val="Normal"/>
    <w:next w:val="BodyText"/>
    <w:link w:val="Heading1Char"/>
    <w:uiPriority w:val="9"/>
    <w:qFormat/>
    <w:rsid w:val="004E12DD"/>
    <w:pPr>
      <w:keepNext/>
      <w:keepLines/>
      <w:spacing w:before="300" w:after="600" w:line="780" w:lineRule="exact"/>
      <w:contextualSpacing/>
      <w:outlineLvl w:val="0"/>
    </w:pPr>
    <w:rPr>
      <w:rFonts w:eastAsiaTheme="majorEastAsia" w:cstheme="majorBidi"/>
      <w:color w:val="005EB8"/>
      <w:sz w:val="72"/>
      <w:szCs w:val="32"/>
    </w:rPr>
  </w:style>
  <w:style w:type="paragraph" w:styleId="Heading2">
    <w:name w:val="heading 2"/>
    <w:basedOn w:val="Normal"/>
    <w:next w:val="BodyText"/>
    <w:link w:val="Heading2Char"/>
    <w:uiPriority w:val="9"/>
    <w:qFormat/>
    <w:rsid w:val="004E12DD"/>
    <w:pPr>
      <w:keepNext/>
      <w:keepLines/>
      <w:spacing w:before="60" w:after="280"/>
      <w:outlineLvl w:val="1"/>
    </w:pPr>
    <w:rPr>
      <w:rFonts w:eastAsiaTheme="majorEastAsia" w:cstheme="majorBidi"/>
      <w:color w:val="005EB8"/>
      <w:sz w:val="36"/>
      <w:szCs w:val="26"/>
    </w:rPr>
  </w:style>
  <w:style w:type="paragraph" w:styleId="Heading3">
    <w:name w:val="heading 3"/>
    <w:basedOn w:val="Normal"/>
    <w:next w:val="BodyText"/>
    <w:link w:val="Heading3Char"/>
    <w:uiPriority w:val="9"/>
    <w:qFormat/>
    <w:rsid w:val="004E12DD"/>
    <w:pPr>
      <w:keepNext/>
      <w:keepLines/>
      <w:spacing w:before="300" w:after="100"/>
      <w:outlineLvl w:val="2"/>
    </w:pPr>
    <w:rPr>
      <w:rFonts w:eastAsiaTheme="majorEastAsia" w:cstheme="majorBidi"/>
      <w:b/>
      <w:sz w:val="28"/>
    </w:rPr>
  </w:style>
  <w:style w:type="paragraph" w:styleId="Heading4">
    <w:name w:val="heading 4"/>
    <w:basedOn w:val="Normal"/>
    <w:next w:val="BodyText"/>
    <w:link w:val="Heading4Char"/>
    <w:uiPriority w:val="9"/>
    <w:qFormat/>
    <w:rsid w:val="004E12DD"/>
    <w:pPr>
      <w:keepNext/>
      <w:keepLines/>
      <w:spacing w:before="300" w:after="100"/>
      <w:outlineLvl w:val="3"/>
    </w:pPr>
    <w:rPr>
      <w:rFonts w:eastAsiaTheme="majorEastAsia" w:cstheme="majorBidi"/>
      <w:b/>
      <w:iCs/>
    </w:rPr>
  </w:style>
  <w:style w:type="paragraph" w:styleId="Heading5">
    <w:name w:val="heading 5"/>
    <w:basedOn w:val="Normal"/>
    <w:next w:val="BodyText"/>
    <w:link w:val="Heading5Char"/>
    <w:uiPriority w:val="99"/>
    <w:semiHidden/>
    <w:qFormat/>
    <w:rsid w:val="004E12DD"/>
    <w:pPr>
      <w:keepNext/>
      <w:keepLines/>
      <w:spacing w:before="40"/>
      <w:outlineLvl w:val="4"/>
    </w:pPr>
    <w:rPr>
      <w:rFonts w:eastAsiaTheme="majorEastAsia" w:cstheme="majorBidi"/>
      <w:i/>
    </w:rPr>
  </w:style>
  <w:style w:type="paragraph" w:styleId="Heading6">
    <w:name w:val="heading 6"/>
    <w:basedOn w:val="Normal"/>
    <w:next w:val="BodyText"/>
    <w:link w:val="Heading6Char"/>
    <w:uiPriority w:val="99"/>
    <w:semiHidden/>
    <w:qFormat/>
    <w:rsid w:val="004E12DD"/>
    <w:pPr>
      <w:keepNext/>
      <w:keepLines/>
      <w:spacing w:before="40"/>
      <w:outlineLvl w:val="5"/>
    </w:pPr>
    <w:rPr>
      <w:rFonts w:eastAsiaTheme="majorEastAsia" w:cstheme="majorBidi"/>
      <w:b/>
      <w:sz w:val="20"/>
    </w:rPr>
  </w:style>
  <w:style w:type="paragraph" w:styleId="Heading7">
    <w:name w:val="heading 7"/>
    <w:basedOn w:val="Normal"/>
    <w:next w:val="BodyText"/>
    <w:link w:val="Heading7Char"/>
    <w:uiPriority w:val="99"/>
    <w:semiHidden/>
    <w:qFormat/>
    <w:rsid w:val="004E12DD"/>
    <w:pPr>
      <w:keepNext/>
      <w:keepLines/>
      <w:spacing w:before="40"/>
      <w:outlineLvl w:val="6"/>
    </w:pPr>
    <w:rPr>
      <w:rFonts w:eastAsiaTheme="majorEastAsia" w:cstheme="majorBidi"/>
      <w:i/>
      <w:iCs/>
      <w:sz w:val="18"/>
    </w:rPr>
  </w:style>
  <w:style w:type="paragraph" w:styleId="Heading8">
    <w:name w:val="heading 8"/>
    <w:basedOn w:val="Normal"/>
    <w:next w:val="BodyText"/>
    <w:link w:val="Heading8Char"/>
    <w:uiPriority w:val="99"/>
    <w:semiHidden/>
    <w:qFormat/>
    <w:rsid w:val="004E12DD"/>
    <w:pPr>
      <w:keepNext/>
      <w:keepLines/>
      <w:spacing w:before="40"/>
      <w:outlineLvl w:val="7"/>
    </w:pPr>
    <w:rPr>
      <w:rFonts w:eastAsiaTheme="majorEastAsia" w:cstheme="majorBidi"/>
      <w:sz w:val="20"/>
      <w:szCs w:val="21"/>
    </w:rPr>
  </w:style>
  <w:style w:type="paragraph" w:styleId="Heading9">
    <w:name w:val="heading 9"/>
    <w:basedOn w:val="Normal"/>
    <w:next w:val="BodyText"/>
    <w:link w:val="Heading9Char"/>
    <w:uiPriority w:val="99"/>
    <w:semiHidden/>
    <w:qFormat/>
    <w:rsid w:val="004E12DD"/>
    <w:pPr>
      <w:keepNext/>
      <w:keepLines/>
      <w:spacing w:before="40"/>
      <w:outlineLvl w:val="8"/>
    </w:pPr>
    <w:rPr>
      <w:rFonts w:eastAsiaTheme="majorEastAsia" w:cstheme="majorBidi"/>
      <w:i/>
      <w:iCs/>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12DD"/>
    <w:rPr>
      <w:rFonts w:ascii="Arial" w:eastAsiaTheme="majorEastAsia" w:hAnsi="Arial" w:cstheme="majorBidi"/>
      <w:color w:val="005EB8"/>
      <w:kern w:val="0"/>
      <w:sz w:val="72"/>
      <w:szCs w:val="32"/>
      <w14:ligatures w14:val="none"/>
    </w:rPr>
  </w:style>
  <w:style w:type="character" w:customStyle="1" w:styleId="Heading2Char">
    <w:name w:val="Heading 2 Char"/>
    <w:basedOn w:val="DefaultParagraphFont"/>
    <w:link w:val="Heading2"/>
    <w:uiPriority w:val="9"/>
    <w:rsid w:val="004E12DD"/>
    <w:rPr>
      <w:rFonts w:ascii="Arial" w:eastAsiaTheme="majorEastAsia" w:hAnsi="Arial" w:cstheme="majorBidi"/>
      <w:color w:val="005EB8"/>
      <w:kern w:val="0"/>
      <w:sz w:val="36"/>
      <w:szCs w:val="26"/>
      <w14:ligatures w14:val="none"/>
    </w:rPr>
  </w:style>
  <w:style w:type="character" w:customStyle="1" w:styleId="Heading3Char">
    <w:name w:val="Heading 3 Char"/>
    <w:basedOn w:val="DefaultParagraphFont"/>
    <w:link w:val="Heading3"/>
    <w:uiPriority w:val="9"/>
    <w:rsid w:val="004E12DD"/>
    <w:rPr>
      <w:rFonts w:ascii="Arial" w:eastAsiaTheme="majorEastAsia" w:hAnsi="Arial" w:cstheme="majorBidi"/>
      <w:b/>
      <w:color w:val="231F20"/>
      <w:kern w:val="0"/>
      <w:sz w:val="28"/>
      <w:szCs w:val="24"/>
      <w14:ligatures w14:val="none"/>
    </w:rPr>
  </w:style>
  <w:style w:type="character" w:customStyle="1" w:styleId="Heading4Char">
    <w:name w:val="Heading 4 Char"/>
    <w:basedOn w:val="DefaultParagraphFont"/>
    <w:link w:val="Heading4"/>
    <w:uiPriority w:val="9"/>
    <w:rsid w:val="004E12DD"/>
    <w:rPr>
      <w:rFonts w:ascii="Arial" w:eastAsiaTheme="majorEastAsia" w:hAnsi="Arial" w:cstheme="majorBidi"/>
      <w:b/>
      <w:iCs/>
      <w:color w:val="231F20"/>
      <w:kern w:val="0"/>
      <w:sz w:val="24"/>
      <w:szCs w:val="24"/>
      <w14:ligatures w14:val="none"/>
    </w:rPr>
  </w:style>
  <w:style w:type="character" w:customStyle="1" w:styleId="Heading5Char">
    <w:name w:val="Heading 5 Char"/>
    <w:basedOn w:val="DefaultParagraphFont"/>
    <w:link w:val="Heading5"/>
    <w:uiPriority w:val="99"/>
    <w:semiHidden/>
    <w:rsid w:val="004E12DD"/>
    <w:rPr>
      <w:rFonts w:ascii="Arial" w:eastAsiaTheme="majorEastAsia" w:hAnsi="Arial" w:cstheme="majorBidi"/>
      <w:i/>
      <w:color w:val="231F20"/>
      <w:kern w:val="0"/>
      <w:sz w:val="24"/>
      <w:szCs w:val="24"/>
      <w14:ligatures w14:val="none"/>
    </w:rPr>
  </w:style>
  <w:style w:type="character" w:customStyle="1" w:styleId="Heading6Char">
    <w:name w:val="Heading 6 Char"/>
    <w:basedOn w:val="DefaultParagraphFont"/>
    <w:link w:val="Heading6"/>
    <w:uiPriority w:val="99"/>
    <w:semiHidden/>
    <w:rsid w:val="004E12DD"/>
    <w:rPr>
      <w:rFonts w:ascii="Arial" w:eastAsiaTheme="majorEastAsia" w:hAnsi="Arial" w:cstheme="majorBidi"/>
      <w:b/>
      <w:color w:val="231F20"/>
      <w:kern w:val="0"/>
      <w:sz w:val="20"/>
      <w:szCs w:val="24"/>
      <w14:ligatures w14:val="none"/>
    </w:rPr>
  </w:style>
  <w:style w:type="character" w:customStyle="1" w:styleId="Heading7Char">
    <w:name w:val="Heading 7 Char"/>
    <w:basedOn w:val="DefaultParagraphFont"/>
    <w:link w:val="Heading7"/>
    <w:uiPriority w:val="99"/>
    <w:semiHidden/>
    <w:rsid w:val="004E12DD"/>
    <w:rPr>
      <w:rFonts w:ascii="Arial" w:eastAsiaTheme="majorEastAsia" w:hAnsi="Arial" w:cstheme="majorBidi"/>
      <w:i/>
      <w:iCs/>
      <w:color w:val="231F20"/>
      <w:kern w:val="0"/>
      <w:sz w:val="18"/>
      <w:szCs w:val="24"/>
      <w14:ligatures w14:val="none"/>
    </w:rPr>
  </w:style>
  <w:style w:type="character" w:customStyle="1" w:styleId="Heading8Char">
    <w:name w:val="Heading 8 Char"/>
    <w:basedOn w:val="DefaultParagraphFont"/>
    <w:link w:val="Heading8"/>
    <w:uiPriority w:val="99"/>
    <w:semiHidden/>
    <w:rsid w:val="004E12DD"/>
    <w:rPr>
      <w:rFonts w:ascii="Arial" w:eastAsiaTheme="majorEastAsia" w:hAnsi="Arial" w:cstheme="majorBidi"/>
      <w:color w:val="231F20"/>
      <w:kern w:val="0"/>
      <w:sz w:val="20"/>
      <w:szCs w:val="21"/>
      <w14:ligatures w14:val="none"/>
    </w:rPr>
  </w:style>
  <w:style w:type="character" w:customStyle="1" w:styleId="Heading9Char">
    <w:name w:val="Heading 9 Char"/>
    <w:basedOn w:val="DefaultParagraphFont"/>
    <w:link w:val="Heading9"/>
    <w:uiPriority w:val="99"/>
    <w:semiHidden/>
    <w:rsid w:val="004E12DD"/>
    <w:rPr>
      <w:rFonts w:ascii="Arial" w:eastAsiaTheme="majorEastAsia" w:hAnsi="Arial" w:cstheme="majorBidi"/>
      <w:i/>
      <w:iCs/>
      <w:color w:val="231F20"/>
      <w:kern w:val="0"/>
      <w:sz w:val="18"/>
      <w:szCs w:val="21"/>
      <w14:ligatures w14:val="none"/>
    </w:rPr>
  </w:style>
  <w:style w:type="paragraph" w:styleId="BodyText">
    <w:name w:val="Body Text"/>
    <w:basedOn w:val="Normal"/>
    <w:link w:val="BodyTextChar"/>
    <w:qFormat/>
    <w:rsid w:val="004E12DD"/>
    <w:pPr>
      <w:spacing w:after="280" w:line="360" w:lineRule="atLeast"/>
    </w:pPr>
  </w:style>
  <w:style w:type="character" w:customStyle="1" w:styleId="BodyTextChar">
    <w:name w:val="Body Text Char"/>
    <w:basedOn w:val="DefaultParagraphFont"/>
    <w:link w:val="BodyText"/>
    <w:rsid w:val="004E12DD"/>
    <w:rPr>
      <w:rFonts w:ascii="Arial" w:hAnsi="Arial"/>
      <w:color w:val="231F20"/>
      <w:kern w:val="0"/>
      <w:sz w:val="24"/>
      <w:szCs w:val="24"/>
      <w14:ligatures w14:val="none"/>
    </w:rPr>
  </w:style>
  <w:style w:type="paragraph" w:styleId="Title">
    <w:name w:val="Title"/>
    <w:basedOn w:val="Normal"/>
    <w:next w:val="Subtitle"/>
    <w:link w:val="TitleChar"/>
    <w:uiPriority w:val="19"/>
    <w:qFormat/>
    <w:rsid w:val="004E12DD"/>
    <w:pPr>
      <w:spacing w:after="200"/>
      <w:contextualSpacing/>
    </w:pPr>
    <w:rPr>
      <w:rFonts w:eastAsiaTheme="majorEastAsia" w:cstheme="majorBidi"/>
      <w:color w:val="005EB8"/>
      <w:kern w:val="28"/>
      <w:sz w:val="64"/>
      <w:szCs w:val="56"/>
    </w:rPr>
  </w:style>
  <w:style w:type="character" w:customStyle="1" w:styleId="TitleChar">
    <w:name w:val="Title Char"/>
    <w:basedOn w:val="DefaultParagraphFont"/>
    <w:link w:val="Title"/>
    <w:uiPriority w:val="19"/>
    <w:rsid w:val="004E12DD"/>
    <w:rPr>
      <w:rFonts w:ascii="Arial" w:eastAsiaTheme="majorEastAsia" w:hAnsi="Arial" w:cstheme="majorBidi"/>
      <w:color w:val="005EB8"/>
      <w:kern w:val="28"/>
      <w:sz w:val="64"/>
      <w:szCs w:val="56"/>
      <w14:ligatures w14:val="none"/>
    </w:rPr>
  </w:style>
  <w:style w:type="paragraph" w:styleId="Quote">
    <w:name w:val="Quote"/>
    <w:basedOn w:val="BodyText"/>
    <w:next w:val="BodyText"/>
    <w:link w:val="QuoteChar"/>
    <w:uiPriority w:val="99"/>
    <w:qFormat/>
    <w:rsid w:val="004E12D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rsid w:val="004E12DD"/>
    <w:rPr>
      <w:rFonts w:ascii="Arial" w:hAnsi="Arial"/>
      <w:i/>
      <w:iCs/>
      <w:color w:val="404040" w:themeColor="text1" w:themeTint="BF"/>
      <w:kern w:val="0"/>
      <w:sz w:val="24"/>
      <w:szCs w:val="24"/>
      <w14:ligatures w14:val="none"/>
    </w:rPr>
  </w:style>
  <w:style w:type="paragraph" w:styleId="Subtitle">
    <w:name w:val="Subtitle"/>
    <w:basedOn w:val="Normal"/>
    <w:next w:val="Date"/>
    <w:link w:val="SubtitleChar"/>
    <w:uiPriority w:val="19"/>
    <w:qFormat/>
    <w:rsid w:val="004E12DD"/>
    <w:pPr>
      <w:numPr>
        <w:ilvl w:val="1"/>
      </w:numPr>
      <w:contextualSpacing/>
    </w:pPr>
    <w:rPr>
      <w:rFonts w:eastAsiaTheme="minorEastAsia"/>
      <w:sz w:val="48"/>
    </w:rPr>
  </w:style>
  <w:style w:type="character" w:customStyle="1" w:styleId="SubtitleChar">
    <w:name w:val="Subtitle Char"/>
    <w:basedOn w:val="DefaultParagraphFont"/>
    <w:link w:val="Subtitle"/>
    <w:uiPriority w:val="19"/>
    <w:rsid w:val="004E12DD"/>
    <w:rPr>
      <w:rFonts w:ascii="Arial" w:eastAsiaTheme="minorEastAsia" w:hAnsi="Arial"/>
      <w:color w:val="231F20"/>
      <w:kern w:val="0"/>
      <w:sz w:val="48"/>
      <w:szCs w:val="24"/>
      <w14:ligatures w14:val="none"/>
    </w:rPr>
  </w:style>
  <w:style w:type="paragraph" w:styleId="Date">
    <w:name w:val="Date"/>
    <w:basedOn w:val="Normal"/>
    <w:next w:val="Normal"/>
    <w:link w:val="DateChar"/>
    <w:uiPriority w:val="19"/>
    <w:semiHidden/>
    <w:qFormat/>
    <w:rsid w:val="004E12DD"/>
  </w:style>
  <w:style w:type="character" w:customStyle="1" w:styleId="DateChar">
    <w:name w:val="Date Char"/>
    <w:basedOn w:val="DefaultParagraphFont"/>
    <w:link w:val="Date"/>
    <w:uiPriority w:val="19"/>
    <w:semiHidden/>
    <w:rsid w:val="004E12DD"/>
    <w:rPr>
      <w:rFonts w:ascii="Arial" w:hAnsi="Arial"/>
      <w:color w:val="231F20"/>
      <w:kern w:val="0"/>
      <w:sz w:val="24"/>
      <w:szCs w:val="24"/>
      <w14:ligatures w14:val="none"/>
    </w:rPr>
  </w:style>
  <w:style w:type="paragraph" w:styleId="Footer">
    <w:name w:val="footer"/>
    <w:basedOn w:val="Normal"/>
    <w:link w:val="FooterChar"/>
    <w:uiPriority w:val="99"/>
    <w:semiHidden/>
    <w:rsid w:val="004E12DD"/>
    <w:pPr>
      <w:tabs>
        <w:tab w:val="center" w:pos="4513"/>
        <w:tab w:val="right" w:pos="9026"/>
      </w:tabs>
      <w:ind w:left="-567"/>
    </w:pPr>
    <w:rPr>
      <w:color w:val="768692"/>
      <w:sz w:val="25"/>
    </w:rPr>
  </w:style>
  <w:style w:type="character" w:customStyle="1" w:styleId="FooterChar">
    <w:name w:val="Footer Char"/>
    <w:basedOn w:val="DefaultParagraphFont"/>
    <w:link w:val="Footer"/>
    <w:uiPriority w:val="99"/>
    <w:semiHidden/>
    <w:rsid w:val="004E12DD"/>
    <w:rPr>
      <w:rFonts w:ascii="Arial" w:hAnsi="Arial"/>
      <w:color w:val="768692"/>
      <w:kern w:val="0"/>
      <w:sz w:val="25"/>
      <w:szCs w:val="24"/>
      <w14:ligatures w14:val="none"/>
    </w:rPr>
  </w:style>
  <w:style w:type="paragraph" w:styleId="Caption">
    <w:name w:val="caption"/>
    <w:basedOn w:val="Normal"/>
    <w:next w:val="Normal"/>
    <w:uiPriority w:val="99"/>
    <w:semiHidden/>
    <w:qFormat/>
    <w:rsid w:val="004E12DD"/>
    <w:pPr>
      <w:spacing w:after="200"/>
    </w:pPr>
    <w:rPr>
      <w:iCs/>
      <w:color w:val="005EB8"/>
      <w:szCs w:val="18"/>
    </w:rPr>
  </w:style>
  <w:style w:type="paragraph" w:styleId="TOC1">
    <w:name w:val="toc 1"/>
    <w:basedOn w:val="Normal"/>
    <w:next w:val="Normal"/>
    <w:uiPriority w:val="39"/>
    <w:unhideWhenUsed/>
    <w:rsid w:val="004E12DD"/>
    <w:pPr>
      <w:tabs>
        <w:tab w:val="left" w:pos="454"/>
        <w:tab w:val="right" w:leader="dot" w:pos="8902"/>
      </w:tabs>
      <w:spacing w:before="200" w:after="100"/>
      <w:ind w:left="454" w:hanging="454"/>
    </w:pPr>
  </w:style>
  <w:style w:type="paragraph" w:styleId="TOC2">
    <w:name w:val="toc 2"/>
    <w:basedOn w:val="Normal"/>
    <w:next w:val="Normal"/>
    <w:uiPriority w:val="39"/>
    <w:unhideWhenUsed/>
    <w:rsid w:val="004E12DD"/>
    <w:pPr>
      <w:tabs>
        <w:tab w:val="left" w:pos="1191"/>
        <w:tab w:val="right" w:leader="dot" w:pos="8902"/>
      </w:tabs>
      <w:spacing w:after="100"/>
      <w:ind w:left="1191" w:hanging="737"/>
    </w:pPr>
  </w:style>
  <w:style w:type="paragraph" w:styleId="TOC3">
    <w:name w:val="toc 3"/>
    <w:basedOn w:val="Normal"/>
    <w:next w:val="Normal"/>
    <w:uiPriority w:val="99"/>
    <w:semiHidden/>
    <w:unhideWhenUsed/>
    <w:rsid w:val="004E12DD"/>
    <w:pPr>
      <w:spacing w:after="100"/>
      <w:ind w:left="440"/>
    </w:pPr>
  </w:style>
  <w:style w:type="paragraph" w:styleId="TOC4">
    <w:name w:val="toc 4"/>
    <w:basedOn w:val="Normal"/>
    <w:next w:val="Normal"/>
    <w:uiPriority w:val="99"/>
    <w:semiHidden/>
    <w:unhideWhenUsed/>
    <w:rsid w:val="004E12DD"/>
    <w:pPr>
      <w:spacing w:after="100"/>
      <w:ind w:left="660"/>
    </w:pPr>
  </w:style>
  <w:style w:type="paragraph" w:styleId="TOC5">
    <w:name w:val="toc 5"/>
    <w:basedOn w:val="Normal"/>
    <w:next w:val="Normal"/>
    <w:uiPriority w:val="99"/>
    <w:semiHidden/>
    <w:unhideWhenUsed/>
    <w:rsid w:val="004E12DD"/>
    <w:pPr>
      <w:spacing w:after="100"/>
      <w:ind w:left="880"/>
    </w:pPr>
  </w:style>
  <w:style w:type="paragraph" w:styleId="TOC6">
    <w:name w:val="toc 6"/>
    <w:basedOn w:val="Normal"/>
    <w:next w:val="Normal"/>
    <w:uiPriority w:val="99"/>
    <w:semiHidden/>
    <w:unhideWhenUsed/>
    <w:rsid w:val="004E12DD"/>
    <w:pPr>
      <w:spacing w:after="100"/>
      <w:ind w:left="1100"/>
    </w:pPr>
  </w:style>
  <w:style w:type="paragraph" w:styleId="TOC7">
    <w:name w:val="toc 7"/>
    <w:basedOn w:val="Normal"/>
    <w:next w:val="Normal"/>
    <w:uiPriority w:val="99"/>
    <w:semiHidden/>
    <w:unhideWhenUsed/>
    <w:rsid w:val="004E12DD"/>
    <w:pPr>
      <w:spacing w:after="100"/>
      <w:ind w:left="1320"/>
    </w:pPr>
  </w:style>
  <w:style w:type="paragraph" w:styleId="TOC8">
    <w:name w:val="toc 8"/>
    <w:basedOn w:val="Normal"/>
    <w:next w:val="Normal"/>
    <w:uiPriority w:val="99"/>
    <w:semiHidden/>
    <w:unhideWhenUsed/>
    <w:rsid w:val="004E12DD"/>
    <w:pPr>
      <w:spacing w:after="100"/>
      <w:ind w:left="1540"/>
    </w:pPr>
  </w:style>
  <w:style w:type="paragraph" w:styleId="TOC9">
    <w:name w:val="toc 9"/>
    <w:basedOn w:val="Normal"/>
    <w:next w:val="Normal"/>
    <w:uiPriority w:val="99"/>
    <w:semiHidden/>
    <w:unhideWhenUsed/>
    <w:rsid w:val="004E12DD"/>
    <w:pPr>
      <w:spacing w:after="100"/>
      <w:ind w:left="1760"/>
    </w:pPr>
  </w:style>
  <w:style w:type="paragraph" w:styleId="TOCHeading">
    <w:name w:val="TOC Heading"/>
    <w:basedOn w:val="Heading1"/>
    <w:next w:val="Normal"/>
    <w:uiPriority w:val="99"/>
    <w:rsid w:val="004E12DD"/>
    <w:pPr>
      <w:outlineLvl w:val="9"/>
    </w:pPr>
  </w:style>
  <w:style w:type="paragraph" w:styleId="Header">
    <w:name w:val="header"/>
    <w:basedOn w:val="Normal"/>
    <w:link w:val="HeaderChar"/>
    <w:uiPriority w:val="99"/>
    <w:semiHidden/>
    <w:rsid w:val="004E12DD"/>
    <w:pPr>
      <w:tabs>
        <w:tab w:val="center" w:pos="4513"/>
        <w:tab w:val="right" w:pos="9026"/>
      </w:tabs>
    </w:pPr>
    <w:rPr>
      <w:sz w:val="18"/>
    </w:rPr>
  </w:style>
  <w:style w:type="character" w:customStyle="1" w:styleId="HeaderChar">
    <w:name w:val="Header Char"/>
    <w:basedOn w:val="DefaultParagraphFont"/>
    <w:link w:val="Header"/>
    <w:uiPriority w:val="99"/>
    <w:semiHidden/>
    <w:rsid w:val="004E12DD"/>
    <w:rPr>
      <w:rFonts w:ascii="Arial" w:hAnsi="Arial"/>
      <w:color w:val="231F20"/>
      <w:kern w:val="0"/>
      <w:sz w:val="18"/>
      <w:szCs w:val="24"/>
      <w14:ligatures w14:val="none"/>
    </w:rPr>
  </w:style>
  <w:style w:type="paragraph" w:styleId="ListBullet">
    <w:name w:val="List Bullet"/>
    <w:basedOn w:val="BodyText"/>
    <w:uiPriority w:val="14"/>
    <w:qFormat/>
    <w:rsid w:val="004E12DD"/>
    <w:pPr>
      <w:numPr>
        <w:numId w:val="11"/>
      </w:numPr>
      <w:spacing w:after="50"/>
    </w:pPr>
  </w:style>
  <w:style w:type="paragraph" w:styleId="ListBullet2">
    <w:name w:val="List Bullet 2"/>
    <w:basedOn w:val="BodyText"/>
    <w:uiPriority w:val="14"/>
    <w:qFormat/>
    <w:rsid w:val="004E12DD"/>
    <w:pPr>
      <w:numPr>
        <w:ilvl w:val="1"/>
        <w:numId w:val="11"/>
      </w:numPr>
      <w:spacing w:after="50"/>
    </w:pPr>
  </w:style>
  <w:style w:type="paragraph" w:styleId="ListBullet3">
    <w:name w:val="List Bullet 3"/>
    <w:basedOn w:val="BodyText"/>
    <w:uiPriority w:val="99"/>
    <w:semiHidden/>
    <w:qFormat/>
    <w:rsid w:val="004E12DD"/>
    <w:pPr>
      <w:numPr>
        <w:ilvl w:val="2"/>
        <w:numId w:val="11"/>
      </w:numPr>
      <w:contextualSpacing/>
    </w:pPr>
  </w:style>
  <w:style w:type="paragraph" w:styleId="ListBullet4">
    <w:name w:val="List Bullet 4"/>
    <w:basedOn w:val="BodyText"/>
    <w:uiPriority w:val="99"/>
    <w:semiHidden/>
    <w:rsid w:val="004E12DD"/>
    <w:pPr>
      <w:numPr>
        <w:ilvl w:val="3"/>
        <w:numId w:val="11"/>
      </w:numPr>
      <w:contextualSpacing/>
    </w:pPr>
  </w:style>
  <w:style w:type="paragraph" w:styleId="ListBullet5">
    <w:name w:val="List Bullet 5"/>
    <w:basedOn w:val="BodyText"/>
    <w:uiPriority w:val="99"/>
    <w:semiHidden/>
    <w:rsid w:val="004E12DD"/>
    <w:pPr>
      <w:numPr>
        <w:ilvl w:val="4"/>
        <w:numId w:val="11"/>
      </w:numPr>
      <w:contextualSpacing/>
    </w:pPr>
  </w:style>
  <w:style w:type="paragraph" w:styleId="ListContinue">
    <w:name w:val="List Continue"/>
    <w:basedOn w:val="BodyText"/>
    <w:uiPriority w:val="16"/>
    <w:qFormat/>
    <w:rsid w:val="004E12DD"/>
    <w:pPr>
      <w:spacing w:after="50"/>
      <w:ind w:left="851"/>
    </w:pPr>
  </w:style>
  <w:style w:type="paragraph" w:styleId="ListContinue2">
    <w:name w:val="List Continue 2"/>
    <w:basedOn w:val="BodyText"/>
    <w:uiPriority w:val="16"/>
    <w:qFormat/>
    <w:rsid w:val="004E12DD"/>
    <w:pPr>
      <w:spacing w:after="50"/>
      <w:ind w:left="1134"/>
    </w:pPr>
  </w:style>
  <w:style w:type="paragraph" w:styleId="ListContinue3">
    <w:name w:val="List Continue 3"/>
    <w:basedOn w:val="BodyText"/>
    <w:uiPriority w:val="16"/>
    <w:qFormat/>
    <w:rsid w:val="004E12DD"/>
    <w:pPr>
      <w:spacing w:after="50"/>
      <w:ind w:left="1021"/>
    </w:pPr>
  </w:style>
  <w:style w:type="paragraph" w:styleId="ListContinue4">
    <w:name w:val="List Continue 4"/>
    <w:basedOn w:val="BodyText"/>
    <w:uiPriority w:val="16"/>
    <w:rsid w:val="004E12DD"/>
    <w:pPr>
      <w:spacing w:after="50"/>
      <w:ind w:left="1474"/>
    </w:pPr>
  </w:style>
  <w:style w:type="paragraph" w:styleId="ListContinue5">
    <w:name w:val="List Continue 5"/>
    <w:basedOn w:val="BodyText"/>
    <w:uiPriority w:val="16"/>
    <w:rsid w:val="004E12DD"/>
    <w:pPr>
      <w:spacing w:after="50"/>
      <w:ind w:left="1928"/>
    </w:pPr>
  </w:style>
  <w:style w:type="paragraph" w:styleId="ListNumber">
    <w:name w:val="List Number"/>
    <w:basedOn w:val="BodyText"/>
    <w:uiPriority w:val="16"/>
    <w:qFormat/>
    <w:rsid w:val="004E12DD"/>
    <w:pPr>
      <w:numPr>
        <w:numId w:val="6"/>
      </w:numPr>
      <w:spacing w:after="50"/>
    </w:pPr>
  </w:style>
  <w:style w:type="paragraph" w:styleId="ListNumber2">
    <w:name w:val="List Number 2"/>
    <w:basedOn w:val="BodyText"/>
    <w:uiPriority w:val="16"/>
    <w:qFormat/>
    <w:rsid w:val="004E12DD"/>
    <w:pPr>
      <w:numPr>
        <w:ilvl w:val="1"/>
        <w:numId w:val="6"/>
      </w:numPr>
      <w:spacing w:after="50"/>
    </w:pPr>
  </w:style>
  <w:style w:type="paragraph" w:styleId="ListNumber3">
    <w:name w:val="List Number 3"/>
    <w:basedOn w:val="BodyText"/>
    <w:uiPriority w:val="16"/>
    <w:qFormat/>
    <w:rsid w:val="004E12DD"/>
    <w:pPr>
      <w:numPr>
        <w:ilvl w:val="2"/>
        <w:numId w:val="6"/>
      </w:numPr>
      <w:spacing w:after="50"/>
    </w:pPr>
  </w:style>
  <w:style w:type="paragraph" w:styleId="ListNumber4">
    <w:name w:val="List Number 4"/>
    <w:basedOn w:val="BodyText"/>
    <w:uiPriority w:val="99"/>
    <w:semiHidden/>
    <w:rsid w:val="004E12DD"/>
    <w:pPr>
      <w:numPr>
        <w:ilvl w:val="3"/>
        <w:numId w:val="6"/>
      </w:numPr>
      <w:contextualSpacing/>
    </w:pPr>
  </w:style>
  <w:style w:type="paragraph" w:styleId="ListNumber5">
    <w:name w:val="List Number 5"/>
    <w:basedOn w:val="BodyText"/>
    <w:uiPriority w:val="99"/>
    <w:semiHidden/>
    <w:rsid w:val="004E12DD"/>
    <w:pPr>
      <w:numPr>
        <w:ilvl w:val="4"/>
        <w:numId w:val="6"/>
      </w:numPr>
      <w:contextualSpacing/>
    </w:pPr>
  </w:style>
  <w:style w:type="paragraph" w:styleId="ListParagraph">
    <w:name w:val="List Paragraph"/>
    <w:basedOn w:val="Normal"/>
    <w:uiPriority w:val="99"/>
    <w:qFormat/>
    <w:rsid w:val="004E12DD"/>
    <w:pPr>
      <w:ind w:left="720"/>
      <w:contextualSpacing/>
    </w:pPr>
  </w:style>
  <w:style w:type="numbering" w:customStyle="1" w:styleId="NHSBullets">
    <w:name w:val="NHS Bullets"/>
    <w:basedOn w:val="NoList"/>
    <w:uiPriority w:val="99"/>
    <w:rsid w:val="004E12DD"/>
    <w:pPr>
      <w:numPr>
        <w:numId w:val="11"/>
      </w:numPr>
    </w:pPr>
  </w:style>
  <w:style w:type="numbering" w:customStyle="1" w:styleId="NHSListNumbers">
    <w:name w:val="NHS List Numbers"/>
    <w:basedOn w:val="NHSBullets"/>
    <w:uiPriority w:val="99"/>
    <w:rsid w:val="004E12DD"/>
    <w:pPr>
      <w:numPr>
        <w:numId w:val="13"/>
      </w:numPr>
    </w:pPr>
  </w:style>
  <w:style w:type="paragraph" w:customStyle="1" w:styleId="BodyTextNoSpacing">
    <w:name w:val="Body Text No Spacing"/>
    <w:basedOn w:val="BodyText"/>
    <w:qFormat/>
    <w:rsid w:val="004E12DD"/>
    <w:pPr>
      <w:spacing w:after="0"/>
    </w:pPr>
  </w:style>
  <w:style w:type="paragraph" w:customStyle="1" w:styleId="TableText">
    <w:name w:val="Table Text"/>
    <w:basedOn w:val="Normal"/>
    <w:uiPriority w:val="17"/>
    <w:qFormat/>
    <w:rsid w:val="004E12DD"/>
  </w:style>
  <w:style w:type="paragraph" w:customStyle="1" w:styleId="TableTitle">
    <w:name w:val="Table Title"/>
    <w:basedOn w:val="TableText"/>
    <w:next w:val="TableText"/>
    <w:uiPriority w:val="16"/>
    <w:qFormat/>
    <w:rsid w:val="004E12DD"/>
    <w:rPr>
      <w:b/>
    </w:rPr>
  </w:style>
  <w:style w:type="paragraph" w:customStyle="1" w:styleId="TableBullet">
    <w:name w:val="Table Bullet"/>
    <w:basedOn w:val="TableText"/>
    <w:uiPriority w:val="18"/>
    <w:qFormat/>
    <w:rsid w:val="004E12DD"/>
    <w:pPr>
      <w:numPr>
        <w:numId w:val="15"/>
      </w:numPr>
    </w:pPr>
  </w:style>
  <w:style w:type="paragraph" w:customStyle="1" w:styleId="TableBullet2">
    <w:name w:val="Table Bullet 2"/>
    <w:basedOn w:val="TableBullet"/>
    <w:uiPriority w:val="18"/>
    <w:qFormat/>
    <w:rsid w:val="004E12DD"/>
    <w:pPr>
      <w:numPr>
        <w:ilvl w:val="1"/>
      </w:numPr>
    </w:pPr>
  </w:style>
  <w:style w:type="numbering" w:customStyle="1" w:styleId="NHSTableBullets">
    <w:name w:val="NHS Table Bullets"/>
    <w:basedOn w:val="NoList"/>
    <w:uiPriority w:val="99"/>
    <w:rsid w:val="004E12DD"/>
    <w:pPr>
      <w:numPr>
        <w:numId w:val="15"/>
      </w:numPr>
    </w:pPr>
  </w:style>
  <w:style w:type="table" w:styleId="TableGrid">
    <w:name w:val="Table Grid"/>
    <w:basedOn w:val="TableNormal"/>
    <w:uiPriority w:val="39"/>
    <w:rsid w:val="004E12DD"/>
    <w:pPr>
      <w:spacing w:after="0" w:line="240" w:lineRule="auto"/>
    </w:pPr>
    <w:rPr>
      <w:rFonts w:ascii="Arial" w:hAnsi="Arial"/>
      <w:color w:val="231F20"/>
      <w:kern w:val="0"/>
      <w:sz w:val="24"/>
      <w:szCs w:val="24"/>
      <w14:ligatures w14:val="none"/>
    </w:rPr>
    <w:tblPr>
      <w:tblCellMar>
        <w:left w:w="0" w:type="dxa"/>
        <w:right w:w="0" w:type="dxa"/>
      </w:tblCellMar>
    </w:tblPr>
  </w:style>
  <w:style w:type="character" w:styleId="PlaceholderText">
    <w:name w:val="Placeholder Text"/>
    <w:basedOn w:val="DefaultParagraphFont"/>
    <w:uiPriority w:val="99"/>
    <w:semiHidden/>
    <w:rsid w:val="004E12DD"/>
    <w:rPr>
      <w:color w:val="auto"/>
      <w:bdr w:val="none" w:sz="0" w:space="0" w:color="auto"/>
      <w:shd w:val="clear" w:color="auto" w:fill="FFFF00"/>
    </w:rPr>
  </w:style>
  <w:style w:type="paragraph" w:customStyle="1" w:styleId="LastBullet">
    <w:name w:val="Last Bullet"/>
    <w:basedOn w:val="ListBullet"/>
    <w:next w:val="BodyText"/>
    <w:uiPriority w:val="15"/>
    <w:qFormat/>
    <w:rsid w:val="004E12DD"/>
    <w:pPr>
      <w:spacing w:after="280"/>
    </w:pPr>
  </w:style>
  <w:style w:type="paragraph" w:customStyle="1" w:styleId="LastBullet2">
    <w:name w:val="Last Bullet 2"/>
    <w:basedOn w:val="ListBullet2"/>
    <w:next w:val="BodyText"/>
    <w:uiPriority w:val="15"/>
    <w:qFormat/>
    <w:rsid w:val="004E12DD"/>
    <w:pPr>
      <w:spacing w:after="280"/>
      <w:ind w:left="1135" w:hanging="284"/>
    </w:pPr>
  </w:style>
  <w:style w:type="paragraph" w:customStyle="1" w:styleId="Heading1Numbered">
    <w:name w:val="Heading 1 Numbered"/>
    <w:basedOn w:val="Heading1"/>
    <w:next w:val="BodyText"/>
    <w:uiPriority w:val="9"/>
    <w:qFormat/>
    <w:rsid w:val="004E12DD"/>
    <w:pPr>
      <w:numPr>
        <w:numId w:val="16"/>
      </w:numPr>
    </w:pPr>
  </w:style>
  <w:style w:type="paragraph" w:customStyle="1" w:styleId="Heading2Numbered">
    <w:name w:val="Heading 2 Numbered"/>
    <w:basedOn w:val="Heading2"/>
    <w:next w:val="BodyText"/>
    <w:uiPriority w:val="9"/>
    <w:qFormat/>
    <w:rsid w:val="004E12DD"/>
    <w:pPr>
      <w:numPr>
        <w:ilvl w:val="1"/>
        <w:numId w:val="16"/>
      </w:numPr>
    </w:pPr>
  </w:style>
  <w:style w:type="paragraph" w:customStyle="1" w:styleId="Heading3Numbered">
    <w:name w:val="Heading 3 Numbered"/>
    <w:basedOn w:val="Heading3"/>
    <w:next w:val="BodyText"/>
    <w:uiPriority w:val="9"/>
    <w:qFormat/>
    <w:rsid w:val="004E12DD"/>
    <w:pPr>
      <w:numPr>
        <w:ilvl w:val="2"/>
        <w:numId w:val="16"/>
      </w:numPr>
    </w:pPr>
  </w:style>
  <w:style w:type="numbering" w:customStyle="1" w:styleId="NHSHeadings">
    <w:name w:val="NHS Headings"/>
    <w:basedOn w:val="NoList"/>
    <w:uiPriority w:val="99"/>
    <w:rsid w:val="004E12DD"/>
    <w:pPr>
      <w:numPr>
        <w:numId w:val="16"/>
      </w:numPr>
    </w:pPr>
  </w:style>
  <w:style w:type="numbering" w:customStyle="1" w:styleId="NHSBodyText">
    <w:name w:val="NHS Body Text"/>
    <w:basedOn w:val="NoList"/>
    <w:uiPriority w:val="99"/>
    <w:rsid w:val="004E12DD"/>
    <w:pPr>
      <w:numPr>
        <w:numId w:val="17"/>
      </w:numPr>
    </w:pPr>
  </w:style>
  <w:style w:type="paragraph" w:styleId="BodyText2">
    <w:name w:val="Body Text 2"/>
    <w:basedOn w:val="BodyText"/>
    <w:link w:val="BodyText2Char"/>
    <w:qFormat/>
    <w:rsid w:val="004E12DD"/>
    <w:pPr>
      <w:numPr>
        <w:numId w:val="17"/>
      </w:numPr>
    </w:pPr>
  </w:style>
  <w:style w:type="character" w:customStyle="1" w:styleId="BodyText2Char">
    <w:name w:val="Body Text 2 Char"/>
    <w:basedOn w:val="DefaultParagraphFont"/>
    <w:link w:val="BodyText2"/>
    <w:rsid w:val="004E12DD"/>
    <w:rPr>
      <w:rFonts w:ascii="Arial" w:hAnsi="Arial"/>
      <w:color w:val="231F20"/>
      <w:kern w:val="0"/>
      <w:sz w:val="24"/>
      <w:szCs w:val="24"/>
      <w14:ligatures w14:val="none"/>
    </w:rPr>
  </w:style>
  <w:style w:type="character" w:customStyle="1" w:styleId="Highlight">
    <w:name w:val="Highlight"/>
    <w:basedOn w:val="DefaultParagraphFont"/>
    <w:uiPriority w:val="1"/>
    <w:qFormat/>
    <w:rsid w:val="004E12DD"/>
    <w:rPr>
      <w:color w:val="41B6E6"/>
    </w:rPr>
  </w:style>
  <w:style w:type="paragraph" w:customStyle="1" w:styleId="IntroText">
    <w:name w:val="Intro Text"/>
    <w:basedOn w:val="BodyText"/>
    <w:next w:val="BodyText"/>
    <w:qFormat/>
    <w:rsid w:val="004E12DD"/>
    <w:pPr>
      <w:spacing w:after="0" w:line="400" w:lineRule="exact"/>
    </w:pPr>
    <w:rPr>
      <w:color w:val="005EB8"/>
      <w:sz w:val="28"/>
    </w:rPr>
  </w:style>
  <w:style w:type="table" w:customStyle="1" w:styleId="NHSTableDarkBlue">
    <w:name w:val="NHS Table Dark Blue"/>
    <w:basedOn w:val="TableNormal"/>
    <w:uiPriority w:val="99"/>
    <w:rsid w:val="004E12DD"/>
    <w:pPr>
      <w:spacing w:after="0" w:line="240" w:lineRule="auto"/>
    </w:pPr>
    <w:rPr>
      <w:rFonts w:ascii="Arial" w:hAnsi="Arial"/>
      <w:color w:val="231F20"/>
      <w:kern w:val="0"/>
      <w:sz w:val="24"/>
      <w:szCs w:val="24"/>
      <w14:ligatures w14:val="none"/>
    </w:rPr>
    <w:tblPr>
      <w:tblStyleRowBandSize w:val="1"/>
      <w:tblBorders>
        <w:insideH w:val="single" w:sz="4" w:space="0" w:color="005EB8"/>
        <w:insideV w:val="single" w:sz="4" w:space="0" w:color="005EB8"/>
      </w:tblBorders>
      <w:tblCellMar>
        <w:top w:w="113" w:type="dxa"/>
        <w:bottom w:w="113" w:type="dxa"/>
      </w:tblCellMar>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005EB8"/>
      </w:tcPr>
    </w:tblStylePr>
    <w:tblStylePr w:type="band1Horz">
      <w:tblPr/>
      <w:tcPr>
        <w:tcBorders>
          <w:top w:val="nil"/>
          <w:left w:val="nil"/>
          <w:bottom w:val="nil"/>
          <w:right w:val="nil"/>
          <w:insideH w:val="nil"/>
          <w:insideV w:val="single" w:sz="4" w:space="0" w:color="005EB8"/>
          <w:tl2br w:val="nil"/>
          <w:tr2bl w:val="nil"/>
        </w:tcBorders>
        <w:shd w:val="clear" w:color="auto" w:fill="CCDFF1"/>
      </w:tcPr>
    </w:tblStylePr>
  </w:style>
  <w:style w:type="table" w:customStyle="1" w:styleId="NHSTableBrightBlue">
    <w:name w:val="NHS Table Bright Blue"/>
    <w:basedOn w:val="NHSTableDarkBlue"/>
    <w:uiPriority w:val="99"/>
    <w:rsid w:val="004E12DD"/>
    <w:tblPr>
      <w:tblBorders>
        <w:insideH w:val="single" w:sz="4" w:space="0" w:color="0072CE"/>
        <w:insideV w:val="single" w:sz="4" w:space="0" w:color="0072CE"/>
      </w:tblBorders>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0072CE"/>
      </w:tcPr>
    </w:tblStylePr>
    <w:tblStylePr w:type="band1Horz">
      <w:tblPr/>
      <w:tcPr>
        <w:tcBorders>
          <w:top w:val="nil"/>
          <w:left w:val="nil"/>
          <w:bottom w:val="nil"/>
          <w:right w:val="nil"/>
          <w:insideH w:val="nil"/>
          <w:insideV w:val="single" w:sz="4" w:space="0" w:color="0072CE"/>
          <w:tl2br w:val="nil"/>
          <w:tr2bl w:val="nil"/>
        </w:tcBorders>
        <w:shd w:val="clear" w:color="auto" w:fill="CCE3F5"/>
      </w:tcPr>
    </w:tblStylePr>
  </w:style>
  <w:style w:type="table" w:customStyle="1" w:styleId="NHSTableLightBlue">
    <w:name w:val="NHS Table Light Blue"/>
    <w:basedOn w:val="NHSTableDarkBlue"/>
    <w:uiPriority w:val="99"/>
    <w:rsid w:val="004E12DD"/>
    <w:tblPr>
      <w:tblBorders>
        <w:insideH w:val="single" w:sz="4" w:space="0" w:color="41B6E6"/>
        <w:insideV w:val="single" w:sz="4" w:space="0" w:color="41B6E6"/>
      </w:tblBorders>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41B6E6"/>
      </w:tcPr>
    </w:tblStylePr>
    <w:tblStylePr w:type="band1Horz">
      <w:tblPr/>
      <w:tcPr>
        <w:tcBorders>
          <w:top w:val="nil"/>
          <w:left w:val="nil"/>
          <w:bottom w:val="nil"/>
          <w:right w:val="nil"/>
          <w:insideH w:val="nil"/>
          <w:insideV w:val="single" w:sz="4" w:space="0" w:color="41B6E6"/>
          <w:tl2br w:val="nil"/>
          <w:tr2bl w:val="nil"/>
        </w:tcBorders>
        <w:shd w:val="clear" w:color="auto" w:fill="D9F0FA"/>
      </w:tcPr>
    </w:tblStylePr>
  </w:style>
  <w:style w:type="table" w:customStyle="1" w:styleId="NHSTableGreen">
    <w:name w:val="NHS Table Green"/>
    <w:basedOn w:val="NHSTableDarkBlue"/>
    <w:uiPriority w:val="99"/>
    <w:rsid w:val="004E12DD"/>
    <w:tblPr>
      <w:tblBorders>
        <w:insideH w:val="single" w:sz="4" w:space="0" w:color="009639"/>
        <w:insideV w:val="single" w:sz="4" w:space="0" w:color="009639"/>
      </w:tblBorders>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009639"/>
      </w:tcPr>
    </w:tblStylePr>
    <w:tblStylePr w:type="band1Horz">
      <w:tblPr/>
      <w:tcPr>
        <w:tcBorders>
          <w:top w:val="nil"/>
          <w:left w:val="nil"/>
          <w:bottom w:val="nil"/>
          <w:right w:val="nil"/>
          <w:insideH w:val="nil"/>
          <w:insideV w:val="single" w:sz="4" w:space="0" w:color="009639"/>
          <w:tl2br w:val="nil"/>
          <w:tr2bl w:val="nil"/>
        </w:tcBorders>
        <w:shd w:val="clear" w:color="auto" w:fill="CCEAD7"/>
      </w:tcPr>
    </w:tblStylePr>
  </w:style>
  <w:style w:type="table" w:customStyle="1" w:styleId="NHSTableDarkRed">
    <w:name w:val="NHS Table Dark Red"/>
    <w:basedOn w:val="NHSTableDarkBlue"/>
    <w:uiPriority w:val="99"/>
    <w:rsid w:val="004E12DD"/>
    <w:tblPr>
      <w:tblBorders>
        <w:insideH w:val="single" w:sz="4" w:space="0" w:color="8A1538"/>
        <w:insideV w:val="single" w:sz="4" w:space="0" w:color="8A1538"/>
      </w:tblBorders>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8A1538"/>
      </w:tcPr>
    </w:tblStylePr>
    <w:tblStylePr w:type="band1Horz">
      <w:tblPr/>
      <w:tcPr>
        <w:tcBorders>
          <w:top w:val="nil"/>
          <w:left w:val="nil"/>
          <w:bottom w:val="nil"/>
          <w:right w:val="nil"/>
          <w:insideH w:val="nil"/>
          <w:insideV w:val="single" w:sz="4" w:space="0" w:color="8A1538"/>
          <w:tl2br w:val="nil"/>
          <w:tr2bl w:val="nil"/>
        </w:tcBorders>
        <w:shd w:val="clear" w:color="auto" w:fill="E8D0D7"/>
      </w:tcPr>
    </w:tblStylePr>
  </w:style>
  <w:style w:type="table" w:customStyle="1" w:styleId="NHSHighlightBoxDarkBlue">
    <w:name w:val="NHS Highlight Box Dark Blue"/>
    <w:basedOn w:val="TableNormal"/>
    <w:uiPriority w:val="99"/>
    <w:rsid w:val="004E12DD"/>
    <w:pPr>
      <w:spacing w:after="0" w:line="240" w:lineRule="auto"/>
    </w:pPr>
    <w:rPr>
      <w:rFonts w:ascii="Arial" w:hAnsi="Arial"/>
      <w:color w:val="231F20"/>
      <w:kern w:val="0"/>
      <w:sz w:val="24"/>
      <w:szCs w:val="24"/>
      <w14:ligatures w14:val="none"/>
    </w:rPr>
    <w:tblPr>
      <w:tblCellMar>
        <w:top w:w="284" w:type="dxa"/>
        <w:left w:w="284" w:type="dxa"/>
        <w:bottom w:w="284" w:type="dxa"/>
        <w:right w:w="284" w:type="dxa"/>
      </w:tblCellMar>
    </w:tblPr>
    <w:tcPr>
      <w:shd w:val="clear" w:color="auto" w:fill="CCDFF1"/>
    </w:tcPr>
  </w:style>
  <w:style w:type="table" w:customStyle="1" w:styleId="NHSHighlightBoxBrightBlue">
    <w:name w:val="NHS Highlight Box Bright Blue"/>
    <w:basedOn w:val="NHSHighlightBoxDarkBlue"/>
    <w:uiPriority w:val="99"/>
    <w:rsid w:val="004E12DD"/>
    <w:tblPr/>
    <w:tcPr>
      <w:shd w:val="clear" w:color="auto" w:fill="CCE3F5"/>
    </w:tcPr>
  </w:style>
  <w:style w:type="table" w:customStyle="1" w:styleId="NHSHighlightBoxLightBlue">
    <w:name w:val="NHS Highlight Box Light Blue"/>
    <w:basedOn w:val="NHSHighlightBoxDarkBlue"/>
    <w:uiPriority w:val="99"/>
    <w:rsid w:val="004E12DD"/>
    <w:tblPr/>
    <w:tcPr>
      <w:shd w:val="clear" w:color="auto" w:fill="D9F0FA"/>
    </w:tcPr>
  </w:style>
  <w:style w:type="table" w:customStyle="1" w:styleId="NHSHighlightBoxGreen">
    <w:name w:val="NHS Highlight Box Green"/>
    <w:basedOn w:val="NHSHighlightBoxDarkBlue"/>
    <w:uiPriority w:val="99"/>
    <w:rsid w:val="004E12DD"/>
    <w:tblPr/>
    <w:tcPr>
      <w:shd w:val="clear" w:color="auto" w:fill="CCEAD7"/>
    </w:tcPr>
  </w:style>
  <w:style w:type="table" w:customStyle="1" w:styleId="NHSHighlightBoxDarkRed">
    <w:name w:val="NHS Highlight Box Dark Red"/>
    <w:basedOn w:val="NHSHighlightBoxDarkBlue"/>
    <w:uiPriority w:val="99"/>
    <w:rsid w:val="004E12DD"/>
    <w:tblPr/>
    <w:tcPr>
      <w:shd w:val="clear" w:color="auto" w:fill="E8D0D7"/>
    </w:tcPr>
  </w:style>
  <w:style w:type="paragraph" w:customStyle="1" w:styleId="BackPage">
    <w:name w:val="Back Page"/>
    <w:basedOn w:val="Normal"/>
    <w:uiPriority w:val="99"/>
    <w:rsid w:val="004E12DD"/>
    <w:rPr>
      <w:color w:val="005EB8"/>
    </w:rPr>
  </w:style>
  <w:style w:type="character" w:styleId="Hyperlink">
    <w:name w:val="Hyperlink"/>
    <w:basedOn w:val="DefaultParagraphFont"/>
    <w:uiPriority w:val="99"/>
    <w:unhideWhenUsed/>
    <w:rsid w:val="004E12DD"/>
    <w:rPr>
      <w:color w:val="0563C1" w:themeColor="hyperlink"/>
      <w:u w:val="single"/>
    </w:rPr>
  </w:style>
  <w:style w:type="paragraph" w:customStyle="1" w:styleId="Classification">
    <w:name w:val="Classification"/>
    <w:basedOn w:val="Normal"/>
    <w:uiPriority w:val="99"/>
    <w:semiHidden/>
    <w:rsid w:val="004E12DD"/>
    <w:rPr>
      <w:color w:val="768692"/>
    </w:rPr>
  </w:style>
  <w:style w:type="table" w:customStyle="1" w:styleId="NHSTableBlue">
    <w:name w:val="NHS Table Blue"/>
    <w:basedOn w:val="NHSTableDarkBlue"/>
    <w:uiPriority w:val="99"/>
    <w:rsid w:val="004E12DD"/>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003087"/>
      </w:tcPr>
    </w:tblStylePr>
    <w:tblStylePr w:type="band1Horz">
      <w:tblPr/>
      <w:tcPr>
        <w:tcBorders>
          <w:top w:val="nil"/>
          <w:left w:val="nil"/>
          <w:bottom w:val="nil"/>
          <w:right w:val="nil"/>
          <w:insideH w:val="nil"/>
          <w:insideV w:val="single" w:sz="4" w:space="0" w:color="005EB8"/>
          <w:tl2br w:val="nil"/>
          <w:tr2bl w:val="nil"/>
        </w:tcBorders>
        <w:shd w:val="clear" w:color="auto" w:fill="CCD6E7"/>
      </w:tcPr>
    </w:tblStylePr>
  </w:style>
  <w:style w:type="table" w:customStyle="1" w:styleId="NHSHighlightBoxBlue">
    <w:name w:val="NHS Highlight Box Blue"/>
    <w:basedOn w:val="TableNormal"/>
    <w:uiPriority w:val="99"/>
    <w:rsid w:val="004E12DD"/>
    <w:pPr>
      <w:spacing w:after="0" w:line="240" w:lineRule="auto"/>
    </w:pPr>
    <w:rPr>
      <w:rFonts w:ascii="Arial" w:hAnsi="Arial"/>
      <w:color w:val="231F20"/>
      <w:kern w:val="0"/>
      <w:sz w:val="24"/>
      <w:szCs w:val="24"/>
      <w14:ligatures w14:val="none"/>
    </w:rPr>
    <w:tblPr>
      <w:tblCellMar>
        <w:top w:w="284" w:type="dxa"/>
        <w:left w:w="284" w:type="dxa"/>
        <w:bottom w:w="284" w:type="dxa"/>
        <w:right w:w="284" w:type="dxa"/>
      </w:tblCellMar>
    </w:tblPr>
    <w:tcPr>
      <w:shd w:val="clear" w:color="auto" w:fill="CCD6E7"/>
    </w:tcPr>
  </w:style>
  <w:style w:type="character" w:customStyle="1" w:styleId="FooterPipe">
    <w:name w:val="Footer Pipe"/>
    <w:basedOn w:val="DefaultParagraphFont"/>
    <w:uiPriority w:val="99"/>
    <w:rsid w:val="004E12DD"/>
    <w:rPr>
      <w:color w:val="005EB8"/>
    </w:rPr>
  </w:style>
  <w:style w:type="character" w:styleId="CommentReference">
    <w:name w:val="annotation reference"/>
    <w:basedOn w:val="DefaultParagraphFont"/>
    <w:uiPriority w:val="99"/>
    <w:semiHidden/>
    <w:unhideWhenUsed/>
    <w:rsid w:val="004E12DD"/>
    <w:rPr>
      <w:sz w:val="16"/>
      <w:szCs w:val="16"/>
    </w:rPr>
  </w:style>
  <w:style w:type="paragraph" w:styleId="CommentText">
    <w:name w:val="annotation text"/>
    <w:basedOn w:val="Normal"/>
    <w:link w:val="CommentTextChar"/>
    <w:uiPriority w:val="99"/>
    <w:unhideWhenUsed/>
    <w:rsid w:val="004E12DD"/>
    <w:rPr>
      <w:sz w:val="20"/>
      <w:szCs w:val="20"/>
    </w:rPr>
  </w:style>
  <w:style w:type="character" w:customStyle="1" w:styleId="CommentTextChar">
    <w:name w:val="Comment Text Char"/>
    <w:basedOn w:val="DefaultParagraphFont"/>
    <w:link w:val="CommentText"/>
    <w:uiPriority w:val="99"/>
    <w:rsid w:val="004E12DD"/>
    <w:rPr>
      <w:rFonts w:ascii="Arial" w:hAnsi="Arial"/>
      <w:color w:val="231F20"/>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E12DD"/>
    <w:rPr>
      <w:b/>
      <w:bCs/>
    </w:rPr>
  </w:style>
  <w:style w:type="character" w:customStyle="1" w:styleId="CommentSubjectChar">
    <w:name w:val="Comment Subject Char"/>
    <w:basedOn w:val="CommentTextChar"/>
    <w:link w:val="CommentSubject"/>
    <w:uiPriority w:val="99"/>
    <w:semiHidden/>
    <w:rsid w:val="004E12DD"/>
    <w:rPr>
      <w:rFonts w:ascii="Arial" w:hAnsi="Arial"/>
      <w:b/>
      <w:bCs/>
      <w:color w:val="231F20"/>
      <w:kern w:val="0"/>
      <w:sz w:val="20"/>
      <w:szCs w:val="20"/>
      <w14:ligatures w14:val="none"/>
    </w:rPr>
  </w:style>
  <w:style w:type="character" w:styleId="UnresolvedMention">
    <w:name w:val="Unresolved Mention"/>
    <w:basedOn w:val="DefaultParagraphFont"/>
    <w:uiPriority w:val="99"/>
    <w:semiHidden/>
    <w:unhideWhenUsed/>
    <w:rsid w:val="004E12DD"/>
    <w:rPr>
      <w:color w:val="605E5C"/>
      <w:shd w:val="clear" w:color="auto" w:fill="E1DFDD"/>
    </w:rPr>
  </w:style>
  <w:style w:type="paragraph" w:customStyle="1" w:styleId="paragraph">
    <w:name w:val="paragraph"/>
    <w:basedOn w:val="Normal"/>
    <w:rsid w:val="004E12DD"/>
    <w:pPr>
      <w:spacing w:before="100" w:beforeAutospacing="1" w:after="100" w:afterAutospacing="1"/>
    </w:pPr>
    <w:rPr>
      <w:rFonts w:ascii="Times New Roman" w:eastAsia="Times New Roman" w:hAnsi="Times New Roman" w:cs="Times New Roman"/>
      <w:color w:val="auto"/>
      <w:lang w:eastAsia="en-GB"/>
    </w:rPr>
  </w:style>
  <w:style w:type="table" w:styleId="TableGridLight">
    <w:name w:val="Grid Table Light"/>
    <w:basedOn w:val="TableNormal"/>
    <w:uiPriority w:val="40"/>
    <w:rsid w:val="004A188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B00F37"/>
    <w:rPr>
      <w:color w:val="954F72" w:themeColor="followedHyperlink"/>
      <w:u w:val="single"/>
    </w:rPr>
  </w:style>
  <w:style w:type="paragraph" w:styleId="NormalWeb">
    <w:name w:val="Normal (Web)"/>
    <w:basedOn w:val="Normal"/>
    <w:uiPriority w:val="99"/>
    <w:semiHidden/>
    <w:unhideWhenUsed/>
    <w:rsid w:val="00B00F3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06900">
      <w:bodyDiv w:val="1"/>
      <w:marLeft w:val="0"/>
      <w:marRight w:val="0"/>
      <w:marTop w:val="0"/>
      <w:marBottom w:val="0"/>
      <w:divBdr>
        <w:top w:val="none" w:sz="0" w:space="0" w:color="auto"/>
        <w:left w:val="none" w:sz="0" w:space="0" w:color="auto"/>
        <w:bottom w:val="none" w:sz="0" w:space="0" w:color="auto"/>
        <w:right w:val="none" w:sz="0" w:space="0" w:color="auto"/>
      </w:divBdr>
    </w:div>
    <w:div w:id="555698397">
      <w:bodyDiv w:val="1"/>
      <w:marLeft w:val="0"/>
      <w:marRight w:val="0"/>
      <w:marTop w:val="0"/>
      <w:marBottom w:val="0"/>
      <w:divBdr>
        <w:top w:val="none" w:sz="0" w:space="0" w:color="auto"/>
        <w:left w:val="none" w:sz="0" w:space="0" w:color="auto"/>
        <w:bottom w:val="none" w:sz="0" w:space="0" w:color="auto"/>
        <w:right w:val="none" w:sz="0" w:space="0" w:color="auto"/>
      </w:divBdr>
      <w:divsChild>
        <w:div w:id="1990668279">
          <w:marLeft w:val="0"/>
          <w:marRight w:val="0"/>
          <w:marTop w:val="0"/>
          <w:marBottom w:val="0"/>
          <w:divBdr>
            <w:top w:val="none" w:sz="0" w:space="0" w:color="auto"/>
            <w:left w:val="none" w:sz="0" w:space="0" w:color="auto"/>
            <w:bottom w:val="none" w:sz="0" w:space="0" w:color="auto"/>
            <w:right w:val="none" w:sz="0" w:space="0" w:color="auto"/>
          </w:divBdr>
        </w:div>
        <w:div w:id="452871043">
          <w:marLeft w:val="0"/>
          <w:marRight w:val="0"/>
          <w:marTop w:val="0"/>
          <w:marBottom w:val="0"/>
          <w:divBdr>
            <w:top w:val="none" w:sz="0" w:space="0" w:color="auto"/>
            <w:left w:val="none" w:sz="0" w:space="0" w:color="auto"/>
            <w:bottom w:val="none" w:sz="0" w:space="0" w:color="auto"/>
            <w:right w:val="none" w:sz="0" w:space="0" w:color="auto"/>
          </w:divBdr>
        </w:div>
      </w:divsChild>
    </w:div>
    <w:div w:id="806162056">
      <w:bodyDiv w:val="1"/>
      <w:marLeft w:val="0"/>
      <w:marRight w:val="0"/>
      <w:marTop w:val="0"/>
      <w:marBottom w:val="0"/>
      <w:divBdr>
        <w:top w:val="none" w:sz="0" w:space="0" w:color="auto"/>
        <w:left w:val="none" w:sz="0" w:space="0" w:color="auto"/>
        <w:bottom w:val="none" w:sz="0" w:space="0" w:color="auto"/>
        <w:right w:val="none" w:sz="0" w:space="0" w:color="auto"/>
      </w:divBdr>
    </w:div>
    <w:div w:id="813790201">
      <w:bodyDiv w:val="1"/>
      <w:marLeft w:val="0"/>
      <w:marRight w:val="0"/>
      <w:marTop w:val="0"/>
      <w:marBottom w:val="0"/>
      <w:divBdr>
        <w:top w:val="none" w:sz="0" w:space="0" w:color="auto"/>
        <w:left w:val="none" w:sz="0" w:space="0" w:color="auto"/>
        <w:bottom w:val="none" w:sz="0" w:space="0" w:color="auto"/>
        <w:right w:val="none" w:sz="0" w:space="0" w:color="auto"/>
      </w:divBdr>
      <w:divsChild>
        <w:div w:id="1153370882">
          <w:marLeft w:val="0"/>
          <w:marRight w:val="0"/>
          <w:marTop w:val="0"/>
          <w:marBottom w:val="0"/>
          <w:divBdr>
            <w:top w:val="none" w:sz="0" w:space="0" w:color="auto"/>
            <w:left w:val="none" w:sz="0" w:space="0" w:color="auto"/>
            <w:bottom w:val="none" w:sz="0" w:space="0" w:color="auto"/>
            <w:right w:val="none" w:sz="0" w:space="0" w:color="auto"/>
          </w:divBdr>
        </w:div>
        <w:div w:id="1178689397">
          <w:marLeft w:val="0"/>
          <w:marRight w:val="0"/>
          <w:marTop w:val="0"/>
          <w:marBottom w:val="0"/>
          <w:divBdr>
            <w:top w:val="none" w:sz="0" w:space="0" w:color="auto"/>
            <w:left w:val="none" w:sz="0" w:space="0" w:color="auto"/>
            <w:bottom w:val="none" w:sz="0" w:space="0" w:color="auto"/>
            <w:right w:val="none" w:sz="0" w:space="0" w:color="auto"/>
          </w:divBdr>
        </w:div>
      </w:divsChild>
    </w:div>
    <w:div w:id="934093897">
      <w:bodyDiv w:val="1"/>
      <w:marLeft w:val="0"/>
      <w:marRight w:val="0"/>
      <w:marTop w:val="0"/>
      <w:marBottom w:val="0"/>
      <w:divBdr>
        <w:top w:val="none" w:sz="0" w:space="0" w:color="auto"/>
        <w:left w:val="none" w:sz="0" w:space="0" w:color="auto"/>
        <w:bottom w:val="none" w:sz="0" w:space="0" w:color="auto"/>
        <w:right w:val="none" w:sz="0" w:space="0" w:color="auto"/>
      </w:divBdr>
    </w:div>
    <w:div w:id="944463232">
      <w:bodyDiv w:val="1"/>
      <w:marLeft w:val="0"/>
      <w:marRight w:val="0"/>
      <w:marTop w:val="0"/>
      <w:marBottom w:val="0"/>
      <w:divBdr>
        <w:top w:val="none" w:sz="0" w:space="0" w:color="auto"/>
        <w:left w:val="none" w:sz="0" w:space="0" w:color="auto"/>
        <w:bottom w:val="none" w:sz="0" w:space="0" w:color="auto"/>
        <w:right w:val="none" w:sz="0" w:space="0" w:color="auto"/>
      </w:divBdr>
    </w:div>
    <w:div w:id="1004478186">
      <w:bodyDiv w:val="1"/>
      <w:marLeft w:val="0"/>
      <w:marRight w:val="0"/>
      <w:marTop w:val="0"/>
      <w:marBottom w:val="0"/>
      <w:divBdr>
        <w:top w:val="none" w:sz="0" w:space="0" w:color="auto"/>
        <w:left w:val="none" w:sz="0" w:space="0" w:color="auto"/>
        <w:bottom w:val="none" w:sz="0" w:space="0" w:color="auto"/>
        <w:right w:val="none" w:sz="0" w:space="0" w:color="auto"/>
      </w:divBdr>
    </w:div>
    <w:div w:id="1108895171">
      <w:bodyDiv w:val="1"/>
      <w:marLeft w:val="0"/>
      <w:marRight w:val="0"/>
      <w:marTop w:val="0"/>
      <w:marBottom w:val="0"/>
      <w:divBdr>
        <w:top w:val="none" w:sz="0" w:space="0" w:color="auto"/>
        <w:left w:val="none" w:sz="0" w:space="0" w:color="auto"/>
        <w:bottom w:val="none" w:sz="0" w:space="0" w:color="auto"/>
        <w:right w:val="none" w:sz="0" w:space="0" w:color="auto"/>
      </w:divBdr>
    </w:div>
    <w:div w:id="1113355532">
      <w:bodyDiv w:val="1"/>
      <w:marLeft w:val="0"/>
      <w:marRight w:val="0"/>
      <w:marTop w:val="0"/>
      <w:marBottom w:val="0"/>
      <w:divBdr>
        <w:top w:val="none" w:sz="0" w:space="0" w:color="auto"/>
        <w:left w:val="none" w:sz="0" w:space="0" w:color="auto"/>
        <w:bottom w:val="none" w:sz="0" w:space="0" w:color="auto"/>
        <w:right w:val="none" w:sz="0" w:space="0" w:color="auto"/>
      </w:divBdr>
    </w:div>
    <w:div w:id="1437872959">
      <w:bodyDiv w:val="1"/>
      <w:marLeft w:val="0"/>
      <w:marRight w:val="0"/>
      <w:marTop w:val="0"/>
      <w:marBottom w:val="0"/>
      <w:divBdr>
        <w:top w:val="none" w:sz="0" w:space="0" w:color="auto"/>
        <w:left w:val="none" w:sz="0" w:space="0" w:color="auto"/>
        <w:bottom w:val="none" w:sz="0" w:space="0" w:color="auto"/>
        <w:right w:val="none" w:sz="0" w:space="0" w:color="auto"/>
      </w:divBdr>
    </w:div>
    <w:div w:id="1452671130">
      <w:bodyDiv w:val="1"/>
      <w:marLeft w:val="0"/>
      <w:marRight w:val="0"/>
      <w:marTop w:val="0"/>
      <w:marBottom w:val="0"/>
      <w:divBdr>
        <w:top w:val="none" w:sz="0" w:space="0" w:color="auto"/>
        <w:left w:val="none" w:sz="0" w:space="0" w:color="auto"/>
        <w:bottom w:val="none" w:sz="0" w:space="0" w:color="auto"/>
        <w:right w:val="none" w:sz="0" w:space="0" w:color="auto"/>
      </w:divBdr>
    </w:div>
    <w:div w:id="1543060044">
      <w:bodyDiv w:val="1"/>
      <w:marLeft w:val="0"/>
      <w:marRight w:val="0"/>
      <w:marTop w:val="0"/>
      <w:marBottom w:val="0"/>
      <w:divBdr>
        <w:top w:val="none" w:sz="0" w:space="0" w:color="auto"/>
        <w:left w:val="none" w:sz="0" w:space="0" w:color="auto"/>
        <w:bottom w:val="none" w:sz="0" w:space="0" w:color="auto"/>
        <w:right w:val="none" w:sz="0" w:space="0" w:color="auto"/>
      </w:divBdr>
      <w:divsChild>
        <w:div w:id="534469129">
          <w:marLeft w:val="0"/>
          <w:marRight w:val="0"/>
          <w:marTop w:val="0"/>
          <w:marBottom w:val="0"/>
          <w:divBdr>
            <w:top w:val="none" w:sz="0" w:space="0" w:color="auto"/>
            <w:left w:val="none" w:sz="0" w:space="0" w:color="auto"/>
            <w:bottom w:val="none" w:sz="0" w:space="0" w:color="auto"/>
            <w:right w:val="none" w:sz="0" w:space="0" w:color="auto"/>
          </w:divBdr>
        </w:div>
        <w:div w:id="655184504">
          <w:marLeft w:val="0"/>
          <w:marRight w:val="0"/>
          <w:marTop w:val="0"/>
          <w:marBottom w:val="0"/>
          <w:divBdr>
            <w:top w:val="none" w:sz="0" w:space="0" w:color="auto"/>
            <w:left w:val="none" w:sz="0" w:space="0" w:color="auto"/>
            <w:bottom w:val="none" w:sz="0" w:space="0" w:color="auto"/>
            <w:right w:val="none" w:sz="0" w:space="0" w:color="auto"/>
          </w:divBdr>
        </w:div>
        <w:div w:id="1586451651">
          <w:marLeft w:val="0"/>
          <w:marRight w:val="0"/>
          <w:marTop w:val="0"/>
          <w:marBottom w:val="0"/>
          <w:divBdr>
            <w:top w:val="none" w:sz="0" w:space="0" w:color="auto"/>
            <w:left w:val="none" w:sz="0" w:space="0" w:color="auto"/>
            <w:bottom w:val="none" w:sz="0" w:space="0" w:color="auto"/>
            <w:right w:val="none" w:sz="0" w:space="0" w:color="auto"/>
          </w:divBdr>
        </w:div>
        <w:div w:id="1857689474">
          <w:marLeft w:val="0"/>
          <w:marRight w:val="0"/>
          <w:marTop w:val="0"/>
          <w:marBottom w:val="0"/>
          <w:divBdr>
            <w:top w:val="none" w:sz="0" w:space="0" w:color="auto"/>
            <w:left w:val="none" w:sz="0" w:space="0" w:color="auto"/>
            <w:bottom w:val="none" w:sz="0" w:space="0" w:color="auto"/>
            <w:right w:val="none" w:sz="0" w:space="0" w:color="auto"/>
          </w:divBdr>
        </w:div>
      </w:divsChild>
    </w:div>
    <w:div w:id="1717463317">
      <w:bodyDiv w:val="1"/>
      <w:marLeft w:val="0"/>
      <w:marRight w:val="0"/>
      <w:marTop w:val="0"/>
      <w:marBottom w:val="0"/>
      <w:divBdr>
        <w:top w:val="none" w:sz="0" w:space="0" w:color="auto"/>
        <w:left w:val="none" w:sz="0" w:space="0" w:color="auto"/>
        <w:bottom w:val="none" w:sz="0" w:space="0" w:color="auto"/>
        <w:right w:val="none" w:sz="0" w:space="0" w:color="auto"/>
      </w:divBdr>
      <w:divsChild>
        <w:div w:id="1453400556">
          <w:marLeft w:val="0"/>
          <w:marRight w:val="0"/>
          <w:marTop w:val="0"/>
          <w:marBottom w:val="0"/>
          <w:divBdr>
            <w:top w:val="none" w:sz="0" w:space="0" w:color="auto"/>
            <w:left w:val="none" w:sz="0" w:space="0" w:color="auto"/>
            <w:bottom w:val="none" w:sz="0" w:space="0" w:color="auto"/>
            <w:right w:val="none" w:sz="0" w:space="0" w:color="auto"/>
          </w:divBdr>
        </w:div>
      </w:divsChild>
    </w:div>
    <w:div w:id="1777867156">
      <w:bodyDiv w:val="1"/>
      <w:marLeft w:val="0"/>
      <w:marRight w:val="0"/>
      <w:marTop w:val="0"/>
      <w:marBottom w:val="0"/>
      <w:divBdr>
        <w:top w:val="none" w:sz="0" w:space="0" w:color="auto"/>
        <w:left w:val="none" w:sz="0" w:space="0" w:color="auto"/>
        <w:bottom w:val="none" w:sz="0" w:space="0" w:color="auto"/>
        <w:right w:val="none" w:sz="0" w:space="0" w:color="auto"/>
      </w:divBdr>
    </w:div>
    <w:div w:id="1801145415">
      <w:bodyDiv w:val="1"/>
      <w:marLeft w:val="0"/>
      <w:marRight w:val="0"/>
      <w:marTop w:val="0"/>
      <w:marBottom w:val="0"/>
      <w:divBdr>
        <w:top w:val="none" w:sz="0" w:space="0" w:color="auto"/>
        <w:left w:val="none" w:sz="0" w:space="0" w:color="auto"/>
        <w:bottom w:val="none" w:sz="0" w:space="0" w:color="auto"/>
        <w:right w:val="none" w:sz="0" w:space="0" w:color="auto"/>
      </w:divBdr>
      <w:divsChild>
        <w:div w:id="541214223">
          <w:marLeft w:val="0"/>
          <w:marRight w:val="0"/>
          <w:marTop w:val="0"/>
          <w:marBottom w:val="0"/>
          <w:divBdr>
            <w:top w:val="none" w:sz="0" w:space="0" w:color="auto"/>
            <w:left w:val="none" w:sz="0" w:space="0" w:color="auto"/>
            <w:bottom w:val="none" w:sz="0" w:space="0" w:color="auto"/>
            <w:right w:val="none" w:sz="0" w:space="0" w:color="auto"/>
          </w:divBdr>
        </w:div>
        <w:div w:id="1567032438">
          <w:marLeft w:val="0"/>
          <w:marRight w:val="0"/>
          <w:marTop w:val="0"/>
          <w:marBottom w:val="0"/>
          <w:divBdr>
            <w:top w:val="none" w:sz="0" w:space="0" w:color="auto"/>
            <w:left w:val="none" w:sz="0" w:space="0" w:color="auto"/>
            <w:bottom w:val="none" w:sz="0" w:space="0" w:color="auto"/>
            <w:right w:val="none" w:sz="0" w:space="0" w:color="auto"/>
          </w:divBdr>
        </w:div>
        <w:div w:id="1027677409">
          <w:marLeft w:val="0"/>
          <w:marRight w:val="0"/>
          <w:marTop w:val="0"/>
          <w:marBottom w:val="0"/>
          <w:divBdr>
            <w:top w:val="none" w:sz="0" w:space="0" w:color="auto"/>
            <w:left w:val="none" w:sz="0" w:space="0" w:color="auto"/>
            <w:bottom w:val="none" w:sz="0" w:space="0" w:color="auto"/>
            <w:right w:val="none" w:sz="0" w:space="0" w:color="auto"/>
          </w:divBdr>
        </w:div>
        <w:div w:id="2083723045">
          <w:marLeft w:val="0"/>
          <w:marRight w:val="0"/>
          <w:marTop w:val="0"/>
          <w:marBottom w:val="0"/>
          <w:divBdr>
            <w:top w:val="none" w:sz="0" w:space="0" w:color="auto"/>
            <w:left w:val="none" w:sz="0" w:space="0" w:color="auto"/>
            <w:bottom w:val="none" w:sz="0" w:space="0" w:color="auto"/>
            <w:right w:val="none" w:sz="0" w:space="0" w:color="auto"/>
          </w:divBdr>
        </w:div>
      </w:divsChild>
    </w:div>
    <w:div w:id="1806653216">
      <w:bodyDiv w:val="1"/>
      <w:marLeft w:val="0"/>
      <w:marRight w:val="0"/>
      <w:marTop w:val="0"/>
      <w:marBottom w:val="0"/>
      <w:divBdr>
        <w:top w:val="none" w:sz="0" w:space="0" w:color="auto"/>
        <w:left w:val="none" w:sz="0" w:space="0" w:color="auto"/>
        <w:bottom w:val="none" w:sz="0" w:space="0" w:color="auto"/>
        <w:right w:val="none" w:sz="0" w:space="0" w:color="auto"/>
      </w:divBdr>
    </w:div>
    <w:div w:id="1810056244">
      <w:bodyDiv w:val="1"/>
      <w:marLeft w:val="0"/>
      <w:marRight w:val="0"/>
      <w:marTop w:val="0"/>
      <w:marBottom w:val="0"/>
      <w:divBdr>
        <w:top w:val="none" w:sz="0" w:space="0" w:color="auto"/>
        <w:left w:val="none" w:sz="0" w:space="0" w:color="auto"/>
        <w:bottom w:val="none" w:sz="0" w:space="0" w:color="auto"/>
        <w:right w:val="none" w:sz="0" w:space="0" w:color="auto"/>
      </w:divBdr>
      <w:divsChild>
        <w:div w:id="1153303076">
          <w:marLeft w:val="0"/>
          <w:marRight w:val="0"/>
          <w:marTop w:val="0"/>
          <w:marBottom w:val="0"/>
          <w:divBdr>
            <w:top w:val="none" w:sz="0" w:space="0" w:color="auto"/>
            <w:left w:val="none" w:sz="0" w:space="0" w:color="auto"/>
            <w:bottom w:val="none" w:sz="0" w:space="0" w:color="auto"/>
            <w:right w:val="none" w:sz="0" w:space="0" w:color="auto"/>
          </w:divBdr>
        </w:div>
        <w:div w:id="403793883">
          <w:marLeft w:val="0"/>
          <w:marRight w:val="0"/>
          <w:marTop w:val="0"/>
          <w:marBottom w:val="0"/>
          <w:divBdr>
            <w:top w:val="none" w:sz="0" w:space="0" w:color="auto"/>
            <w:left w:val="none" w:sz="0" w:space="0" w:color="auto"/>
            <w:bottom w:val="none" w:sz="0" w:space="0" w:color="auto"/>
            <w:right w:val="none" w:sz="0" w:space="0" w:color="auto"/>
          </w:divBdr>
        </w:div>
      </w:divsChild>
    </w:div>
    <w:div w:id="1840540015">
      <w:bodyDiv w:val="1"/>
      <w:marLeft w:val="0"/>
      <w:marRight w:val="0"/>
      <w:marTop w:val="0"/>
      <w:marBottom w:val="0"/>
      <w:divBdr>
        <w:top w:val="none" w:sz="0" w:space="0" w:color="auto"/>
        <w:left w:val="none" w:sz="0" w:space="0" w:color="auto"/>
        <w:bottom w:val="none" w:sz="0" w:space="0" w:color="auto"/>
        <w:right w:val="none" w:sz="0" w:space="0" w:color="auto"/>
      </w:divBdr>
    </w:div>
    <w:div w:id="1922256503">
      <w:bodyDiv w:val="1"/>
      <w:marLeft w:val="0"/>
      <w:marRight w:val="0"/>
      <w:marTop w:val="0"/>
      <w:marBottom w:val="0"/>
      <w:divBdr>
        <w:top w:val="none" w:sz="0" w:space="0" w:color="auto"/>
        <w:left w:val="none" w:sz="0" w:space="0" w:color="auto"/>
        <w:bottom w:val="none" w:sz="0" w:space="0" w:color="auto"/>
        <w:right w:val="none" w:sz="0" w:space="0" w:color="auto"/>
      </w:divBdr>
    </w:div>
    <w:div w:id="1958176055">
      <w:bodyDiv w:val="1"/>
      <w:marLeft w:val="0"/>
      <w:marRight w:val="0"/>
      <w:marTop w:val="0"/>
      <w:marBottom w:val="0"/>
      <w:divBdr>
        <w:top w:val="none" w:sz="0" w:space="0" w:color="auto"/>
        <w:left w:val="none" w:sz="0" w:space="0" w:color="auto"/>
        <w:bottom w:val="none" w:sz="0" w:space="0" w:color="auto"/>
        <w:right w:val="none" w:sz="0" w:space="0" w:color="auto"/>
      </w:divBdr>
      <w:divsChild>
        <w:div w:id="1595432183">
          <w:marLeft w:val="0"/>
          <w:marRight w:val="0"/>
          <w:marTop w:val="0"/>
          <w:marBottom w:val="0"/>
          <w:divBdr>
            <w:top w:val="none" w:sz="0" w:space="0" w:color="auto"/>
            <w:left w:val="none" w:sz="0" w:space="0" w:color="auto"/>
            <w:bottom w:val="none" w:sz="0" w:space="0" w:color="auto"/>
            <w:right w:val="none" w:sz="0" w:space="0" w:color="auto"/>
          </w:divBdr>
        </w:div>
        <w:div w:id="395513393">
          <w:marLeft w:val="0"/>
          <w:marRight w:val="0"/>
          <w:marTop w:val="0"/>
          <w:marBottom w:val="0"/>
          <w:divBdr>
            <w:top w:val="none" w:sz="0" w:space="0" w:color="auto"/>
            <w:left w:val="none" w:sz="0" w:space="0" w:color="auto"/>
            <w:bottom w:val="none" w:sz="0" w:space="0" w:color="auto"/>
            <w:right w:val="none" w:sz="0" w:space="0" w:color="auto"/>
          </w:divBdr>
        </w:div>
      </w:divsChild>
    </w:div>
    <w:div w:id="1985502866">
      <w:bodyDiv w:val="1"/>
      <w:marLeft w:val="0"/>
      <w:marRight w:val="0"/>
      <w:marTop w:val="0"/>
      <w:marBottom w:val="0"/>
      <w:divBdr>
        <w:top w:val="none" w:sz="0" w:space="0" w:color="auto"/>
        <w:left w:val="none" w:sz="0" w:space="0" w:color="auto"/>
        <w:bottom w:val="none" w:sz="0" w:space="0" w:color="auto"/>
        <w:right w:val="none" w:sz="0" w:space="0" w:color="auto"/>
      </w:divBdr>
    </w:div>
    <w:div w:id="2090730093">
      <w:bodyDiv w:val="1"/>
      <w:marLeft w:val="0"/>
      <w:marRight w:val="0"/>
      <w:marTop w:val="0"/>
      <w:marBottom w:val="0"/>
      <w:divBdr>
        <w:top w:val="none" w:sz="0" w:space="0" w:color="auto"/>
        <w:left w:val="none" w:sz="0" w:space="0" w:color="auto"/>
        <w:bottom w:val="none" w:sz="0" w:space="0" w:color="auto"/>
        <w:right w:val="none" w:sz="0" w:space="0" w:color="auto"/>
      </w:divBdr>
    </w:div>
    <w:div w:id="211813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ngland.nhs.uk/mental-health/case-studies/crisis-mental-health-case-studies/bradford-first-respons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2066</Words>
  <Characters>11782</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Wright</dc:creator>
  <cp:keywords/>
  <dc:description/>
  <cp:lastModifiedBy>Lisa Wright</cp:lastModifiedBy>
  <cp:revision>2</cp:revision>
  <dcterms:created xsi:type="dcterms:W3CDTF">2025-10-23T15:14:00Z</dcterms:created>
  <dcterms:modified xsi:type="dcterms:W3CDTF">2025-10-23T15:14:00Z</dcterms:modified>
</cp:coreProperties>
</file>